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1E4D8AF1" w:rsidR="00EF44BC" w:rsidRPr="00FF5F23" w:rsidRDefault="00EF44BC" w:rsidP="00EF44BC">
      <w:pPr>
        <w:pStyle w:val="Header"/>
        <w:tabs>
          <w:tab w:val="right" w:pos="9639"/>
        </w:tabs>
        <w:rPr>
          <w:bCs/>
          <w:noProof w:val="0"/>
          <w:sz w:val="28"/>
          <w:szCs w:val="28"/>
        </w:rPr>
      </w:pPr>
      <w:bookmarkStart w:id="0" w:name="_GoBack"/>
      <w:bookmarkEnd w:id="0"/>
      <w:r w:rsidRPr="00184687">
        <w:rPr>
          <w:bCs/>
          <w:noProof w:val="0"/>
          <w:sz w:val="28"/>
          <w:szCs w:val="28"/>
        </w:rPr>
        <w:t xml:space="preserve">3GPP TSG RAN WG1 </w:t>
      </w:r>
      <w:r w:rsidR="00C06A0A" w:rsidRPr="00184687">
        <w:rPr>
          <w:bCs/>
          <w:noProof w:val="0"/>
          <w:sz w:val="28"/>
          <w:szCs w:val="28"/>
        </w:rPr>
        <w:t>A</w:t>
      </w:r>
      <w:r w:rsidR="00D73D8F" w:rsidRPr="00184687">
        <w:rPr>
          <w:bCs/>
          <w:noProof w:val="0"/>
          <w:sz w:val="28"/>
          <w:szCs w:val="28"/>
        </w:rPr>
        <w:t>d-</w:t>
      </w:r>
      <w:r w:rsidR="00C06A0A" w:rsidRPr="00184687">
        <w:rPr>
          <w:bCs/>
          <w:noProof w:val="0"/>
          <w:sz w:val="28"/>
          <w:szCs w:val="28"/>
        </w:rPr>
        <w:t>H</w:t>
      </w:r>
      <w:r w:rsidR="00D73D8F" w:rsidRPr="00184687">
        <w:rPr>
          <w:bCs/>
          <w:noProof w:val="0"/>
          <w:sz w:val="28"/>
          <w:szCs w:val="28"/>
        </w:rPr>
        <w:t xml:space="preserve">oc meeting </w:t>
      </w:r>
      <w:r w:rsidR="00C06A0A" w:rsidRPr="00184687">
        <w:rPr>
          <w:bCs/>
          <w:noProof w:val="0"/>
          <w:sz w:val="28"/>
          <w:szCs w:val="28"/>
        </w:rPr>
        <w:t>1901</w:t>
      </w:r>
      <w:r w:rsidRPr="00FF5F23">
        <w:rPr>
          <w:bCs/>
          <w:noProof w:val="0"/>
          <w:sz w:val="28"/>
          <w:szCs w:val="28"/>
        </w:rPr>
        <w:tab/>
      </w:r>
      <w:r w:rsidR="00184687" w:rsidRPr="00FF5F23">
        <w:rPr>
          <w:bCs/>
          <w:noProof w:val="0"/>
          <w:sz w:val="28"/>
          <w:szCs w:val="28"/>
        </w:rPr>
        <w:t>R1-1900659</w:t>
      </w:r>
    </w:p>
    <w:p w14:paraId="76C3BA30" w14:textId="0B1149E6" w:rsidR="00EF44BC" w:rsidRPr="00012FAE" w:rsidRDefault="00D73D8F" w:rsidP="00EF44BC">
      <w:pPr>
        <w:pStyle w:val="Header"/>
        <w:rPr>
          <w:rFonts w:cs="Arial"/>
          <w:bCs/>
          <w:sz w:val="28"/>
          <w:szCs w:val="28"/>
        </w:rPr>
      </w:pPr>
      <w:r w:rsidRPr="00396B4A">
        <w:rPr>
          <w:rFonts w:cs="Arial"/>
          <w:bCs/>
          <w:sz w:val="28"/>
          <w:szCs w:val="28"/>
        </w:rPr>
        <w:t>Taipei</w:t>
      </w:r>
      <w:r w:rsidR="00CE7B49" w:rsidRPr="00396B4A">
        <w:rPr>
          <w:rFonts w:cs="Arial"/>
          <w:bCs/>
          <w:sz w:val="28"/>
          <w:szCs w:val="28"/>
        </w:rPr>
        <w:t xml:space="preserve">, </w:t>
      </w:r>
      <w:r w:rsidRPr="00396B4A">
        <w:rPr>
          <w:rFonts w:cs="Arial"/>
          <w:bCs/>
          <w:sz w:val="28"/>
          <w:szCs w:val="28"/>
        </w:rPr>
        <w:t>Taiwan</w:t>
      </w:r>
      <w:r w:rsidR="00EF44BC" w:rsidRPr="0078538C">
        <w:rPr>
          <w:rFonts w:cs="Arial"/>
          <w:bCs/>
          <w:sz w:val="28"/>
          <w:szCs w:val="28"/>
        </w:rPr>
        <w:t xml:space="preserve">, </w:t>
      </w:r>
      <w:r w:rsidR="00C06A0A" w:rsidRPr="0078538C">
        <w:rPr>
          <w:rFonts w:cs="Arial"/>
          <w:bCs/>
          <w:sz w:val="28"/>
          <w:szCs w:val="28"/>
        </w:rPr>
        <w:t>21 – 25</w:t>
      </w:r>
      <w:r w:rsidR="00CE7B49" w:rsidRPr="00012FAE">
        <w:rPr>
          <w:rFonts w:cs="Arial"/>
          <w:bCs/>
          <w:sz w:val="28"/>
          <w:szCs w:val="28"/>
        </w:rPr>
        <w:t>,</w:t>
      </w:r>
      <w:r w:rsidR="00394B37" w:rsidRPr="00012FAE">
        <w:rPr>
          <w:rFonts w:cs="Arial"/>
          <w:bCs/>
          <w:sz w:val="28"/>
          <w:szCs w:val="28"/>
        </w:rPr>
        <w:t xml:space="preserve"> </w:t>
      </w:r>
      <w:r w:rsidR="00C06A0A" w:rsidRPr="00012FAE">
        <w:rPr>
          <w:rFonts w:cs="Arial"/>
          <w:bCs/>
          <w:sz w:val="28"/>
          <w:szCs w:val="28"/>
        </w:rPr>
        <w:t>January 2019</w:t>
      </w:r>
    </w:p>
    <w:p w14:paraId="763EE237" w14:textId="77777777" w:rsidR="00EF44BC" w:rsidRPr="00A200C1" w:rsidRDefault="00EF44BC" w:rsidP="00EF44BC">
      <w:pPr>
        <w:pStyle w:val="Header"/>
        <w:rPr>
          <w:rFonts w:cs="Arial"/>
          <w:b w:val="0"/>
          <w:bCs/>
          <w:sz w:val="28"/>
        </w:rPr>
      </w:pPr>
    </w:p>
    <w:p w14:paraId="08AC4AD5" w14:textId="113312B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w:t>
      </w:r>
      <w:r w:rsidR="0009556A">
        <w:rPr>
          <w:rFonts w:cs="Arial"/>
          <w:b/>
          <w:bCs/>
          <w:sz w:val="24"/>
        </w:rPr>
        <w:t>2</w:t>
      </w:r>
      <w:r w:rsidR="00EF1707">
        <w:rPr>
          <w:rFonts w:cs="Arial"/>
          <w:b/>
          <w:bCs/>
          <w:sz w:val="24"/>
        </w:rPr>
        <w:t>.</w:t>
      </w:r>
      <w:r w:rsidR="00D73D8F">
        <w:rPr>
          <w:rFonts w:cs="Arial"/>
          <w:b/>
          <w:bCs/>
          <w:sz w:val="24"/>
        </w:rPr>
        <w:t>3.5</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0650511F"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E0BC1">
        <w:rPr>
          <w:rFonts w:ascii="Arial" w:hAnsi="Arial" w:cs="Arial"/>
          <w:b/>
          <w:bCs/>
          <w:sz w:val="24"/>
        </w:rPr>
        <w:t xml:space="preserve">IAB </w:t>
      </w:r>
      <w:r w:rsidR="00D73D8F">
        <w:rPr>
          <w:rFonts w:ascii="Arial" w:hAnsi="Arial" w:cs="Arial"/>
          <w:b/>
          <w:bCs/>
          <w:sz w:val="24"/>
        </w:rPr>
        <w:t>Case #1 t</w:t>
      </w:r>
      <w:r w:rsidR="00096A43">
        <w:rPr>
          <w:rFonts w:ascii="Arial" w:hAnsi="Arial" w:cs="Arial"/>
          <w:b/>
          <w:bCs/>
          <w:sz w:val="24"/>
        </w:rPr>
        <w: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09B492C" w14:textId="0AA9D832" w:rsidR="004926C9" w:rsidRDefault="004926C9" w:rsidP="00FF5F23">
      <w:pPr>
        <w:spacing w:after="120"/>
        <w:jc w:val="both"/>
      </w:pPr>
      <w:r>
        <w:t>As concluded by RAN1 and defined in RAN#82 agreed WID</w:t>
      </w:r>
      <w:r w:rsidR="00A6298D">
        <w:t xml:space="preserve"> </w:t>
      </w:r>
      <w:r w:rsidR="00A6298D">
        <w:fldChar w:fldCharType="begin"/>
      </w:r>
      <w:r w:rsidR="00A6298D">
        <w:instrText xml:space="preserve"> REF _Ref533075225 \r \h </w:instrText>
      </w:r>
      <w:r w:rsidR="00184687">
        <w:instrText xml:space="preserve"> \* MERGEFORMAT </w:instrText>
      </w:r>
      <w:r w:rsidR="00A6298D">
        <w:fldChar w:fldCharType="separate"/>
      </w:r>
      <w:r w:rsidR="00A6298D">
        <w:t>[2]</w:t>
      </w:r>
      <w:r w:rsidR="00A6298D">
        <w:fldChar w:fldCharType="end"/>
      </w:r>
      <w:r>
        <w:t xml:space="preserve">, the IAB synchronization will be based on OTA (over the air) timing utilizing the timing advance (TA) control information to adjust the timing of the IAB nodes. Only Case #1 timing </w:t>
      </w:r>
      <w:r w:rsidR="00A6298D">
        <w:fldChar w:fldCharType="begin"/>
      </w:r>
      <w:r w:rsidR="00A6298D">
        <w:instrText xml:space="preserve"> REF _Ref533075287 \r \h </w:instrText>
      </w:r>
      <w:r w:rsidR="00184687">
        <w:instrText xml:space="preserve"> \* MERGEFORMAT </w:instrText>
      </w:r>
      <w:r w:rsidR="00A6298D">
        <w:fldChar w:fldCharType="separate"/>
      </w:r>
      <w:r w:rsidR="00A6298D">
        <w:t>[1]</w:t>
      </w:r>
      <w:r w:rsidR="00A6298D">
        <w:fldChar w:fldCharType="end"/>
      </w:r>
      <w:r w:rsidR="00A6298D">
        <w:t xml:space="preserve"> </w:t>
      </w:r>
      <w:r>
        <w:t>will be supported in Rel.16 where the DL timing is synchronized among all nodes and UL timing is based on normal TA loop.</w:t>
      </w:r>
    </w:p>
    <w:p w14:paraId="2669799F" w14:textId="4BC37CF0" w:rsidR="004926C9" w:rsidRDefault="00916B0F" w:rsidP="00FF5F23">
      <w:pPr>
        <w:spacing w:after="120"/>
        <w:jc w:val="both"/>
      </w:pPr>
      <w:r>
        <w:t xml:space="preserve">In this paper we elaborate the IAB </w:t>
      </w:r>
      <w:r w:rsidR="00D23BC4">
        <w:t xml:space="preserve">OTA synchronization </w:t>
      </w:r>
      <w:r>
        <w:t xml:space="preserve">and </w:t>
      </w:r>
      <w:r w:rsidR="00D23BC4">
        <w:t xml:space="preserve">whether enhancements would </w:t>
      </w:r>
      <w:r>
        <w:t xml:space="preserve">be needed </w:t>
      </w:r>
      <w:r w:rsidR="00D23BC4">
        <w:t xml:space="preserve">for the timing control of </w:t>
      </w:r>
      <w:r>
        <w:t>IAB nodes.</w:t>
      </w:r>
    </w:p>
    <w:p w14:paraId="2EDADF91" w14:textId="1B17D583" w:rsidR="004C396E" w:rsidRPr="00CB3C8E" w:rsidRDefault="004C396E" w:rsidP="00EE1F1A"/>
    <w:p w14:paraId="10FD11CC" w14:textId="0A0E6622" w:rsidR="00062630" w:rsidRDefault="00062630" w:rsidP="00062630">
      <w:pPr>
        <w:pStyle w:val="Heading1"/>
      </w:pPr>
      <w:r>
        <w:rPr>
          <w:color w:val="000000"/>
        </w:rPr>
        <w:t>2</w:t>
      </w:r>
      <w:r w:rsidRPr="00A51522">
        <w:rPr>
          <w:color w:val="000000"/>
        </w:rPr>
        <w:tab/>
      </w:r>
      <w:r w:rsidR="005E7117">
        <w:t>Discussion</w:t>
      </w:r>
    </w:p>
    <w:p w14:paraId="378BDAF7" w14:textId="0A0BADAB" w:rsidR="00EA2D7E" w:rsidRDefault="00303962" w:rsidP="00EA2D7E">
      <w:pPr>
        <w:pStyle w:val="Heading2"/>
        <w:rPr>
          <w:lang w:val="en-US"/>
        </w:rPr>
      </w:pPr>
      <w:r>
        <w:rPr>
          <w:lang w:val="en-US"/>
        </w:rPr>
        <w:t>2.1</w:t>
      </w:r>
      <w:r>
        <w:rPr>
          <w:lang w:val="en-US"/>
        </w:rPr>
        <w:tab/>
        <w:t>Parameters for OTA timing control</w:t>
      </w:r>
    </w:p>
    <w:p w14:paraId="7DBC8AFB" w14:textId="48130F17" w:rsidR="00BD3A66" w:rsidRDefault="00CE6DB7" w:rsidP="002720E1">
      <w:pPr>
        <w:spacing w:after="120"/>
        <w:jc w:val="both"/>
        <w:rPr>
          <w:rFonts w:eastAsia="MS Mincho"/>
          <w:lang w:eastAsia="ja-JP"/>
        </w:rPr>
      </w:pPr>
      <w:r>
        <w:rPr>
          <w:rFonts w:eastAsia="MS Mincho"/>
          <w:lang w:eastAsia="ja-JP"/>
        </w:rPr>
        <w:t xml:space="preserve">The </w:t>
      </w:r>
      <w:r w:rsidR="00BD3A66">
        <w:rPr>
          <w:rFonts w:eastAsia="MS Mincho"/>
          <w:lang w:eastAsia="ja-JP"/>
        </w:rPr>
        <w:t xml:space="preserve">initial time alignment value set with the RAR message is </w:t>
      </w:r>
      <w:r w:rsidR="00BD3A66">
        <w:rPr>
          <w:rFonts w:eastAsia="Times New Roman"/>
          <w:position w:val="-10"/>
        </w:rPr>
        <w:object w:dxaOrig="1680" w:dyaOrig="330" w14:anchorId="56A30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6.6pt" o:ole="">
            <v:imagedata r:id="rId13" o:title=""/>
          </v:shape>
          <o:OLEObject Type="Embed" ProgID="Equation.3" ShapeID="_x0000_i1025" DrawAspect="Content" ObjectID="_1608731995" r:id="rId14"/>
        </w:object>
      </w:r>
      <w:r w:rsidR="00BD3A66">
        <w:rPr>
          <w:rFonts w:eastAsia="Times New Roman"/>
        </w:rPr>
        <w:t>, where T</w:t>
      </w:r>
      <w:r w:rsidR="00BD3A66" w:rsidRPr="00BD3A66">
        <w:rPr>
          <w:rFonts w:eastAsia="Times New Roman"/>
          <w:vertAlign w:val="subscript"/>
        </w:rPr>
        <w:t>A</w:t>
      </w:r>
      <w:r w:rsidR="00BD3A66" w:rsidRPr="00BD3A66">
        <w:rPr>
          <w:rFonts w:eastAsia="Times New Roman"/>
        </w:rPr>
        <w:t xml:space="preserve"> = 0, 1, 2, ..., 3846</w:t>
      </w:r>
      <w:r w:rsidR="00BD3A66">
        <w:rPr>
          <w:rFonts w:eastAsia="Times New Roman"/>
        </w:rPr>
        <w:t xml:space="preserve"> and </w:t>
      </w:r>
      <w:r w:rsidR="00BD3A66" w:rsidRPr="00D53AF5">
        <w:rPr>
          <w:rFonts w:ascii="Symbol" w:eastAsia="MS Mincho" w:hAnsi="Symbol"/>
          <w:i/>
          <w:lang w:eastAsia="ja-JP"/>
        </w:rPr>
        <w:t></w:t>
      </w:r>
      <w:r w:rsidR="00BD3A66">
        <w:rPr>
          <w:rFonts w:eastAsia="MS Mincho"/>
          <w:lang w:eastAsia="ja-JP"/>
        </w:rPr>
        <w:t xml:space="preserve"> refers to sub-carrier spacing (</w:t>
      </w:r>
      <w:r w:rsidR="00BD3A66">
        <w:rPr>
          <w:rFonts w:eastAsia="Times New Roman"/>
          <w:position w:val="-6"/>
        </w:rPr>
        <w:object w:dxaOrig="570" w:dyaOrig="300" w14:anchorId="1B99194B">
          <v:shape id="_x0000_i1026" type="#_x0000_t75" style="width:28.15pt;height:15.25pt" o:ole="">
            <v:imagedata r:id="rId15" o:title=""/>
          </v:shape>
          <o:OLEObject Type="Embed" ProgID="Equation.3" ShapeID="_x0000_i1026" DrawAspect="Content" ObjectID="_1608731996" r:id="rId16"/>
        </w:object>
      </w:r>
      <w:r w:rsidR="002720E1">
        <w:rPr>
          <w:rFonts w:eastAsia="Times New Roman"/>
        </w:rPr>
        <w:t>kHz</w:t>
      </w:r>
      <w:r w:rsidR="00BD3A66">
        <w:rPr>
          <w:rFonts w:eastAsia="Times New Roman"/>
        </w:rPr>
        <w:t xml:space="preserve">). </w:t>
      </w:r>
      <w:r w:rsidR="002720E1">
        <w:rPr>
          <w:rFonts w:eastAsia="Times New Roman"/>
        </w:rPr>
        <w:t xml:space="preserve">After the initial access, </w:t>
      </w:r>
      <w:r w:rsidR="002720E1">
        <w:rPr>
          <w:rFonts w:eastAsia="MS Mincho"/>
          <w:lang w:eastAsia="ja-JP"/>
        </w:rPr>
        <w:t>TA adjustment is relative, i.e. the T</w:t>
      </w:r>
      <w:r w:rsidR="002720E1" w:rsidRPr="00795519">
        <w:rPr>
          <w:rFonts w:eastAsia="MS Mincho"/>
          <w:vertAlign w:val="subscript"/>
          <w:lang w:eastAsia="ja-JP"/>
        </w:rPr>
        <w:t>A</w:t>
      </w:r>
      <w:r w:rsidR="002720E1">
        <w:rPr>
          <w:rFonts w:eastAsia="MS Mincho"/>
          <w:lang w:eastAsia="ja-JP"/>
        </w:rPr>
        <w:t xml:space="preserve"> command indicates a “delta” to the used TA</w:t>
      </w:r>
      <w:r w:rsidR="00795519">
        <w:rPr>
          <w:rFonts w:eastAsia="MS Mincho"/>
          <w:lang w:eastAsia="ja-JP"/>
        </w:rPr>
        <w:t xml:space="preserve"> value</w:t>
      </w:r>
      <w:r w:rsidR="002720E1">
        <w:rPr>
          <w:rFonts w:eastAsia="MS Mincho"/>
          <w:lang w:eastAsia="ja-JP"/>
        </w:rPr>
        <w:t>,</w:t>
      </w:r>
      <w:r w:rsidR="007E4054">
        <w:rPr>
          <w:rFonts w:eastAsia="MS Mincho"/>
          <w:lang w:eastAsia="ja-JP"/>
        </w:rPr>
        <w:t xml:space="preserve"> </w:t>
      </w:r>
      <w:r w:rsidR="007E4054">
        <w:rPr>
          <w:rFonts w:eastAsia="MS Mincho"/>
          <w:lang w:eastAsia="ja-JP"/>
        </w:rPr>
        <w:fldChar w:fldCharType="begin"/>
      </w:r>
      <w:r w:rsidR="007E4054">
        <w:rPr>
          <w:rFonts w:eastAsia="MS Mincho"/>
          <w:lang w:eastAsia="ja-JP"/>
        </w:rPr>
        <w:instrText xml:space="preserve"> REF _Ref533076557 \r \h </w:instrText>
      </w:r>
      <w:r w:rsidR="007E4054">
        <w:rPr>
          <w:rFonts w:eastAsia="MS Mincho"/>
          <w:lang w:eastAsia="ja-JP"/>
        </w:rPr>
      </w:r>
      <w:r w:rsidR="007E4054">
        <w:rPr>
          <w:rFonts w:eastAsia="MS Mincho"/>
          <w:lang w:eastAsia="ja-JP"/>
        </w:rPr>
        <w:fldChar w:fldCharType="separate"/>
      </w:r>
      <w:r w:rsidR="007E4054">
        <w:rPr>
          <w:rFonts w:eastAsia="MS Mincho"/>
          <w:lang w:eastAsia="ja-JP"/>
        </w:rPr>
        <w:t>[4]</w:t>
      </w:r>
      <w:r w:rsidR="007E4054">
        <w:rPr>
          <w:rFonts w:eastAsia="MS Mincho"/>
          <w:lang w:eastAsia="ja-JP"/>
        </w:rPr>
        <w:fldChar w:fldCharType="end"/>
      </w:r>
      <w:r w:rsidR="002720E1">
        <w:rPr>
          <w:rFonts w:eastAsia="MS Mincho"/>
          <w:lang w:eastAsia="ja-JP"/>
        </w:rPr>
        <w:t xml:space="preserve">: </w:t>
      </w:r>
      <w:r w:rsidR="002720E1">
        <w:rPr>
          <w:rFonts w:eastAsia="Times New Roman"/>
          <w:position w:val="-12"/>
        </w:rPr>
        <w:object w:dxaOrig="3120" w:dyaOrig="375" w14:anchorId="3FDEDA92">
          <v:shape id="_x0000_i1027" type="#_x0000_t75" style="width:156pt;height:18.9pt" o:ole="">
            <v:imagedata r:id="rId17" o:title=""/>
          </v:shape>
          <o:OLEObject Type="Embed" ProgID="Equation.3" ShapeID="_x0000_i1027" DrawAspect="Content" ObjectID="_1608731997" r:id="rId18"/>
        </w:object>
      </w:r>
      <w:r w:rsidR="002720E1">
        <w:rPr>
          <w:rFonts w:eastAsia="MS Mincho"/>
          <w:lang w:eastAsia="ja-JP"/>
        </w:rPr>
        <w:t>, where T</w:t>
      </w:r>
      <w:r w:rsidR="002720E1" w:rsidRPr="00D53AF5">
        <w:rPr>
          <w:rFonts w:eastAsia="MS Mincho"/>
          <w:vertAlign w:val="subscript"/>
          <w:lang w:eastAsia="ja-JP"/>
        </w:rPr>
        <w:t>A</w:t>
      </w:r>
      <w:r w:rsidR="002720E1">
        <w:rPr>
          <w:rFonts w:eastAsia="MS Mincho"/>
          <w:lang w:eastAsia="ja-JP"/>
        </w:rPr>
        <w:t xml:space="preserve"> = 0, 1, 2,…, 63.</w:t>
      </w:r>
    </w:p>
    <w:p w14:paraId="224C48FF" w14:textId="7E708BAB" w:rsidR="00A922AA" w:rsidRDefault="002720E1" w:rsidP="0029518B">
      <w:pPr>
        <w:spacing w:after="120"/>
        <w:jc w:val="both"/>
        <w:rPr>
          <w:rFonts w:eastAsia="MS Mincho"/>
          <w:lang w:eastAsia="ja-JP"/>
        </w:rPr>
      </w:pPr>
      <w:r>
        <w:rPr>
          <w:rFonts w:eastAsia="MS Mincho"/>
          <w:lang w:eastAsia="ja-JP"/>
        </w:rPr>
        <w:t xml:space="preserve">Used TA </w:t>
      </w:r>
      <w:r w:rsidR="00D729AE">
        <w:rPr>
          <w:rFonts w:eastAsia="MS Mincho"/>
          <w:lang w:eastAsia="ja-JP"/>
        </w:rPr>
        <w:t xml:space="preserve">is </w:t>
      </w:r>
      <w:r w:rsidR="00CE6DB7">
        <w:rPr>
          <w:rFonts w:eastAsia="MS Mincho"/>
          <w:lang w:eastAsia="ja-JP"/>
        </w:rPr>
        <w:t>(</w:t>
      </w:r>
      <w:proofErr w:type="spellStart"/>
      <w:r w:rsidR="00A02CDB">
        <w:rPr>
          <w:rFonts w:eastAsia="MS Mincho"/>
          <w:lang w:eastAsia="ja-JP"/>
        </w:rPr>
        <w:t>N</w:t>
      </w:r>
      <w:r w:rsidR="00D65358">
        <w:rPr>
          <w:rFonts w:eastAsia="MS Mincho"/>
          <w:vertAlign w:val="subscript"/>
          <w:lang w:eastAsia="ja-JP"/>
        </w:rPr>
        <w:t>TAo</w:t>
      </w:r>
      <w:r w:rsidR="00A3295D" w:rsidRPr="00D729AE">
        <w:rPr>
          <w:rFonts w:eastAsia="MS Mincho"/>
          <w:vertAlign w:val="subscript"/>
          <w:lang w:eastAsia="ja-JP"/>
        </w:rPr>
        <w:t>ffset</w:t>
      </w:r>
      <w:proofErr w:type="spellEnd"/>
      <w:r w:rsidR="00A3295D">
        <w:rPr>
          <w:rFonts w:eastAsia="MS Mincho"/>
          <w:lang w:eastAsia="ja-JP"/>
        </w:rPr>
        <w:t xml:space="preserve"> </w:t>
      </w:r>
      <w:r w:rsidR="00D729AE">
        <w:rPr>
          <w:rFonts w:eastAsia="MS Mincho"/>
          <w:lang w:eastAsia="ja-JP"/>
        </w:rPr>
        <w:t xml:space="preserve">+ </w:t>
      </w:r>
      <w:proofErr w:type="gramStart"/>
      <w:r w:rsidR="00D729AE">
        <w:rPr>
          <w:rFonts w:eastAsia="MS Mincho"/>
          <w:lang w:eastAsia="ja-JP"/>
        </w:rPr>
        <w:t>N</w:t>
      </w:r>
      <w:r w:rsidR="00D729AE" w:rsidRPr="00D729AE">
        <w:rPr>
          <w:rFonts w:eastAsia="MS Mincho"/>
          <w:vertAlign w:val="subscript"/>
          <w:lang w:eastAsia="ja-JP"/>
        </w:rPr>
        <w:t>TA</w:t>
      </w:r>
      <w:r w:rsidR="00CE6DB7">
        <w:rPr>
          <w:rFonts w:eastAsia="MS Mincho"/>
          <w:lang w:eastAsia="ja-JP"/>
        </w:rPr>
        <w:t>)*</w:t>
      </w:r>
      <w:proofErr w:type="gramEnd"/>
      <w:r w:rsidR="00CE6DB7">
        <w:rPr>
          <w:rFonts w:eastAsia="MS Mincho"/>
          <w:lang w:eastAsia="ja-JP"/>
        </w:rPr>
        <w:t>Tc,</w:t>
      </w:r>
      <w:r w:rsidR="00D729AE">
        <w:rPr>
          <w:rFonts w:eastAsia="MS Mincho"/>
          <w:lang w:eastAsia="ja-JP"/>
        </w:rPr>
        <w:t xml:space="preserve"> where the </w:t>
      </w:r>
      <w:proofErr w:type="spellStart"/>
      <w:r w:rsidR="00D729AE">
        <w:rPr>
          <w:rFonts w:eastAsia="MS Mincho"/>
          <w:lang w:eastAsia="ja-JP"/>
        </w:rPr>
        <w:t>N</w:t>
      </w:r>
      <w:r w:rsidR="00D65358">
        <w:rPr>
          <w:rFonts w:eastAsia="MS Mincho"/>
          <w:vertAlign w:val="subscript"/>
          <w:lang w:eastAsia="ja-JP"/>
        </w:rPr>
        <w:t>TAo</w:t>
      </w:r>
      <w:r w:rsidR="00D729AE" w:rsidRPr="00D729AE">
        <w:rPr>
          <w:rFonts w:eastAsia="MS Mincho"/>
          <w:vertAlign w:val="subscript"/>
          <w:lang w:eastAsia="ja-JP"/>
        </w:rPr>
        <w:t>ffset</w:t>
      </w:r>
      <w:proofErr w:type="spellEnd"/>
      <w:r w:rsidR="00D729AE">
        <w:rPr>
          <w:rFonts w:eastAsia="MS Mincho"/>
          <w:lang w:eastAsia="ja-JP"/>
        </w:rPr>
        <w:t xml:space="preserve"> is a value fixed or </w:t>
      </w:r>
      <w:r>
        <w:rPr>
          <w:rFonts w:eastAsia="MS Mincho"/>
          <w:lang w:eastAsia="ja-JP"/>
        </w:rPr>
        <w:t xml:space="preserve">signalled </w:t>
      </w:r>
      <w:r w:rsidR="00D729AE">
        <w:rPr>
          <w:rFonts w:eastAsia="MS Mincho"/>
          <w:lang w:eastAsia="ja-JP"/>
        </w:rPr>
        <w:t>by higher layers, N</w:t>
      </w:r>
      <w:r w:rsidR="00D729AE" w:rsidRPr="00D729AE">
        <w:rPr>
          <w:rFonts w:eastAsia="MS Mincho"/>
          <w:vertAlign w:val="subscript"/>
          <w:lang w:eastAsia="ja-JP"/>
        </w:rPr>
        <w:t>TA</w:t>
      </w:r>
      <w:r w:rsidR="00D729AE">
        <w:rPr>
          <w:rFonts w:eastAsia="MS Mincho"/>
          <w:lang w:eastAsia="ja-JP"/>
        </w:rPr>
        <w:t xml:space="preserve"> </w:t>
      </w:r>
      <w:r w:rsidR="00CE6DB7">
        <w:rPr>
          <w:rFonts w:eastAsia="MS Mincho"/>
          <w:lang w:eastAsia="ja-JP"/>
        </w:rPr>
        <w:t xml:space="preserve">is the </w:t>
      </w:r>
      <w:r>
        <w:rPr>
          <w:rFonts w:eastAsia="MS Mincho"/>
          <w:lang w:eastAsia="ja-JP"/>
        </w:rPr>
        <w:t xml:space="preserve">value controlled by the </w:t>
      </w:r>
      <w:r w:rsidR="00CE6DB7">
        <w:rPr>
          <w:rFonts w:eastAsia="MS Mincho"/>
          <w:lang w:eastAsia="ja-JP"/>
        </w:rPr>
        <w:t>TA</w:t>
      </w:r>
      <w:r>
        <w:rPr>
          <w:rFonts w:eastAsia="MS Mincho"/>
          <w:lang w:eastAsia="ja-JP"/>
        </w:rPr>
        <w:t xml:space="preserve"> loop. </w:t>
      </w:r>
      <w:r w:rsidR="00CE6DB7">
        <w:rPr>
          <w:rFonts w:eastAsia="MS Mincho"/>
          <w:lang w:eastAsia="ja-JP"/>
        </w:rPr>
        <w:t>Tc is the basic time unit defined in</w:t>
      </w:r>
      <w:r w:rsidR="007E4054">
        <w:rPr>
          <w:rFonts w:eastAsia="MS Mincho"/>
          <w:lang w:eastAsia="ja-JP"/>
        </w:rPr>
        <w:t xml:space="preserve"> </w:t>
      </w:r>
      <w:r w:rsidR="007E4054">
        <w:rPr>
          <w:rFonts w:eastAsia="MS Mincho"/>
          <w:lang w:eastAsia="ja-JP"/>
        </w:rPr>
        <w:fldChar w:fldCharType="begin"/>
      </w:r>
      <w:r w:rsidR="007E4054">
        <w:rPr>
          <w:rFonts w:eastAsia="MS Mincho"/>
          <w:lang w:eastAsia="ja-JP"/>
        </w:rPr>
        <w:instrText xml:space="preserve"> REF _Ref533076542 \r \h </w:instrText>
      </w:r>
      <w:r w:rsidR="007E4054">
        <w:rPr>
          <w:rFonts w:eastAsia="MS Mincho"/>
          <w:lang w:eastAsia="ja-JP"/>
        </w:rPr>
      </w:r>
      <w:r w:rsidR="007E4054">
        <w:rPr>
          <w:rFonts w:eastAsia="MS Mincho"/>
          <w:lang w:eastAsia="ja-JP"/>
        </w:rPr>
        <w:fldChar w:fldCharType="separate"/>
      </w:r>
      <w:r w:rsidR="007E4054">
        <w:rPr>
          <w:rFonts w:eastAsia="MS Mincho"/>
          <w:lang w:eastAsia="ja-JP"/>
        </w:rPr>
        <w:t>[3]</w:t>
      </w:r>
      <w:r w:rsidR="007E4054">
        <w:rPr>
          <w:rFonts w:eastAsia="MS Mincho"/>
          <w:lang w:eastAsia="ja-JP"/>
        </w:rPr>
        <w:fldChar w:fldCharType="end"/>
      </w:r>
      <w:r w:rsidR="00CE6DB7">
        <w:rPr>
          <w:rFonts w:eastAsia="MS Mincho"/>
          <w:lang w:eastAsia="ja-JP"/>
        </w:rPr>
        <w:t>.</w:t>
      </w:r>
    </w:p>
    <w:p w14:paraId="43BBD5F3" w14:textId="1686147E" w:rsidR="007A36F5" w:rsidRDefault="007A36F5" w:rsidP="0029518B">
      <w:pPr>
        <w:spacing w:after="120"/>
        <w:jc w:val="both"/>
        <w:rPr>
          <w:rFonts w:eastAsia="MS Mincho"/>
          <w:lang w:eastAsia="ja-JP"/>
        </w:rPr>
      </w:pPr>
      <w:r>
        <w:rPr>
          <w:rFonts w:eastAsia="MS Mincho"/>
          <w:lang w:eastAsia="ja-JP"/>
        </w:rPr>
        <w:t xml:space="preserve">In TS 38.133 the </w:t>
      </w:r>
      <w:proofErr w:type="spellStart"/>
      <w:r>
        <w:rPr>
          <w:rFonts w:eastAsia="MS Mincho"/>
          <w:lang w:eastAsia="ja-JP"/>
        </w:rPr>
        <w:t>N</w:t>
      </w:r>
      <w:r w:rsidR="00D65358">
        <w:rPr>
          <w:rFonts w:eastAsia="MS Mincho"/>
          <w:vertAlign w:val="subscript"/>
          <w:lang w:eastAsia="ja-JP"/>
        </w:rPr>
        <w:t>TAo</w:t>
      </w:r>
      <w:r w:rsidRPr="00D729AE">
        <w:rPr>
          <w:rFonts w:eastAsia="MS Mincho"/>
          <w:vertAlign w:val="subscript"/>
          <w:lang w:eastAsia="ja-JP"/>
        </w:rPr>
        <w:t>ffset</w:t>
      </w:r>
      <w:proofErr w:type="spellEnd"/>
      <w:r>
        <w:rPr>
          <w:rFonts w:eastAsia="MS Mincho"/>
          <w:lang w:eastAsia="ja-JP"/>
        </w:rPr>
        <w:t xml:space="preserve"> values are defined as follows: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gridCol w:w="2435"/>
      </w:tblGrid>
      <w:tr w:rsidR="007A36F5" w14:paraId="23594779" w14:textId="77777777" w:rsidTr="000759ED">
        <w:trPr>
          <w:cantSplit/>
          <w:trHeight w:val="404"/>
          <w:jc w:val="center"/>
        </w:trPr>
        <w:tc>
          <w:tcPr>
            <w:tcW w:w="3286" w:type="pct"/>
            <w:tcBorders>
              <w:top w:val="single" w:sz="4" w:space="0" w:color="auto"/>
              <w:left w:val="single" w:sz="4" w:space="0" w:color="auto"/>
              <w:bottom w:val="single" w:sz="4" w:space="0" w:color="auto"/>
              <w:right w:val="single" w:sz="4" w:space="0" w:color="auto"/>
            </w:tcBorders>
            <w:hideMark/>
          </w:tcPr>
          <w:p w14:paraId="483DA5DD" w14:textId="77777777" w:rsidR="007A36F5" w:rsidRPr="000759ED" w:rsidRDefault="007A36F5">
            <w:pPr>
              <w:pStyle w:val="TAH"/>
              <w:rPr>
                <w:sz w:val="16"/>
                <w:lang w:eastAsia="zh-CN"/>
              </w:rPr>
            </w:pPr>
            <w:r w:rsidRPr="000759ED">
              <w:rPr>
                <w:sz w:val="16"/>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0010E622" w14:textId="56163756" w:rsidR="007A36F5" w:rsidRPr="000759ED" w:rsidRDefault="007A36F5">
            <w:pPr>
              <w:pStyle w:val="TAH"/>
              <w:rPr>
                <w:sz w:val="16"/>
                <w:lang w:eastAsia="ko-KR"/>
              </w:rPr>
            </w:pPr>
            <w:bookmarkStart w:id="1" w:name="OLE_LINK15"/>
            <w:r w:rsidRPr="000759ED">
              <w:rPr>
                <w:noProof/>
                <w:position w:val="-10"/>
                <w:sz w:val="16"/>
                <w:lang w:eastAsia="ko-KR"/>
              </w:rPr>
              <w:drawing>
                <wp:inline distT="0" distB="0" distL="0" distR="0" wp14:anchorId="3004E7E0" wp14:editId="276E85F8">
                  <wp:extent cx="492760" cy="19113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bookmarkEnd w:id="1"/>
            <w:r w:rsidRPr="000759ED">
              <w:rPr>
                <w:sz w:val="16"/>
                <w:lang w:eastAsia="ko-KR"/>
              </w:rPr>
              <w:t>(Unit: T</w:t>
            </w:r>
            <w:r w:rsidRPr="000759ED">
              <w:rPr>
                <w:sz w:val="16"/>
                <w:vertAlign w:val="subscript"/>
                <w:lang w:eastAsia="ko-KR"/>
              </w:rPr>
              <w:t>C</w:t>
            </w:r>
            <w:r w:rsidRPr="000759ED">
              <w:rPr>
                <w:sz w:val="16"/>
                <w:lang w:eastAsia="ko-KR"/>
              </w:rPr>
              <w:t>)</w:t>
            </w:r>
          </w:p>
        </w:tc>
      </w:tr>
      <w:tr w:rsidR="007A36F5" w14:paraId="28D80387" w14:textId="77777777" w:rsidTr="000759ED">
        <w:trPr>
          <w:cantSplit/>
          <w:trHeight w:val="404"/>
          <w:jc w:val="center"/>
        </w:trPr>
        <w:tc>
          <w:tcPr>
            <w:tcW w:w="3286" w:type="pct"/>
            <w:tcBorders>
              <w:top w:val="single" w:sz="4" w:space="0" w:color="auto"/>
              <w:left w:val="single" w:sz="4" w:space="0" w:color="auto"/>
              <w:bottom w:val="single" w:sz="4" w:space="0" w:color="auto"/>
              <w:right w:val="single" w:sz="4" w:space="0" w:color="auto"/>
            </w:tcBorders>
            <w:hideMark/>
          </w:tcPr>
          <w:p w14:paraId="3317AB60" w14:textId="77777777" w:rsidR="007A36F5" w:rsidRPr="000759ED" w:rsidRDefault="007A36F5">
            <w:pPr>
              <w:pStyle w:val="TAL"/>
              <w:rPr>
                <w:rFonts w:eastAsia="MS Mincho"/>
                <w:sz w:val="16"/>
                <w:lang w:eastAsia="ja-JP"/>
              </w:rPr>
            </w:pPr>
            <w:r w:rsidRPr="000759ED">
              <w:rPr>
                <w:sz w:val="16"/>
                <w:lang w:eastAsia="ko-KR"/>
              </w:rPr>
              <w:t>FR1 FDD band without LTE-NR coexistence cas</w:t>
            </w:r>
            <w:r w:rsidRPr="000759ED">
              <w:rPr>
                <w:rFonts w:eastAsia="MS Mincho"/>
                <w:sz w:val="16"/>
                <w:lang w:eastAsia="ja-JP"/>
              </w:rPr>
              <w:t>e or FR1 T</w:t>
            </w:r>
            <w:r w:rsidRPr="000759ED">
              <w:rPr>
                <w:sz w:val="16"/>
                <w:lang w:eastAsia="ko-KR"/>
              </w:rPr>
              <w:t>DD band without LTE-NR coexistence case</w:t>
            </w:r>
            <w:r w:rsidRPr="000759ED">
              <w:rPr>
                <w:rFonts w:ascii="MS Mincho" w:eastAsia="MS Mincho" w:hAnsi="MS Mincho" w:hint="eastAsia"/>
                <w:sz w:val="16"/>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2E164EC1" w14:textId="77777777" w:rsidR="007A36F5" w:rsidRPr="000759ED" w:rsidRDefault="007A36F5">
            <w:pPr>
              <w:pStyle w:val="TAL"/>
              <w:rPr>
                <w:rFonts w:eastAsia="MS Mincho" w:cs="v4.2.0"/>
                <w:sz w:val="16"/>
                <w:lang w:eastAsia="ja-JP"/>
              </w:rPr>
            </w:pPr>
            <w:r w:rsidRPr="000759ED">
              <w:rPr>
                <w:rFonts w:cs="v4.2.0"/>
                <w:sz w:val="16"/>
                <w:lang w:eastAsia="ja-JP"/>
              </w:rPr>
              <w:t>2560</w:t>
            </w:r>
            <w:r w:rsidRPr="000759ED">
              <w:rPr>
                <w:rFonts w:cs="v4.2.0"/>
                <w:sz w:val="16"/>
                <w:lang w:eastAsia="ko-KR"/>
              </w:rPr>
              <w:t>0</w:t>
            </w:r>
            <w:r w:rsidRPr="000759ED">
              <w:rPr>
                <w:rFonts w:eastAsia="MS Mincho" w:cs="v4.2.0"/>
                <w:sz w:val="16"/>
                <w:lang w:eastAsia="ja-JP"/>
              </w:rPr>
              <w:t xml:space="preserve"> (Note 1)</w:t>
            </w:r>
          </w:p>
        </w:tc>
      </w:tr>
      <w:tr w:rsidR="007A36F5" w14:paraId="3F2A4544" w14:textId="77777777" w:rsidTr="000759ED">
        <w:trPr>
          <w:cantSplit/>
          <w:trHeight w:val="190"/>
          <w:jc w:val="center"/>
        </w:trPr>
        <w:tc>
          <w:tcPr>
            <w:tcW w:w="3286" w:type="pct"/>
            <w:tcBorders>
              <w:top w:val="single" w:sz="4" w:space="0" w:color="auto"/>
              <w:left w:val="single" w:sz="4" w:space="0" w:color="auto"/>
              <w:bottom w:val="single" w:sz="4" w:space="0" w:color="auto"/>
              <w:right w:val="single" w:sz="4" w:space="0" w:color="auto"/>
            </w:tcBorders>
            <w:hideMark/>
          </w:tcPr>
          <w:p w14:paraId="020C1B7A" w14:textId="3D001B31" w:rsidR="007A36F5" w:rsidRPr="000759ED" w:rsidRDefault="007A36F5">
            <w:pPr>
              <w:pStyle w:val="TAL"/>
              <w:rPr>
                <w:sz w:val="16"/>
                <w:lang w:eastAsia="ko-KR"/>
              </w:rPr>
            </w:pPr>
            <w:bookmarkStart w:id="2" w:name="OLE_LINK72"/>
            <w:r w:rsidRPr="000759ED">
              <w:rPr>
                <w:sz w:val="16"/>
                <w:lang w:eastAsia="zh-CN"/>
              </w:rPr>
              <w:t>FR1 FDD band with LTE-NR coexistence case</w:t>
            </w:r>
            <w:bookmarkEnd w:id="2"/>
          </w:p>
        </w:tc>
        <w:tc>
          <w:tcPr>
            <w:tcW w:w="1714" w:type="pct"/>
            <w:tcBorders>
              <w:top w:val="single" w:sz="4" w:space="0" w:color="auto"/>
              <w:left w:val="single" w:sz="4" w:space="0" w:color="auto"/>
              <w:bottom w:val="single" w:sz="4" w:space="0" w:color="auto"/>
              <w:right w:val="single" w:sz="4" w:space="0" w:color="auto"/>
            </w:tcBorders>
            <w:hideMark/>
          </w:tcPr>
          <w:p w14:paraId="2586CB19" w14:textId="77777777" w:rsidR="007A36F5" w:rsidRPr="000759ED" w:rsidRDefault="007A36F5">
            <w:pPr>
              <w:pStyle w:val="TAL"/>
              <w:rPr>
                <w:rFonts w:eastAsia="MS Mincho"/>
                <w:sz w:val="16"/>
                <w:lang w:eastAsia="ja-JP"/>
              </w:rPr>
            </w:pPr>
            <w:r w:rsidRPr="000759ED">
              <w:rPr>
                <w:rFonts w:cs="v4.2.0"/>
                <w:sz w:val="16"/>
                <w:lang w:eastAsia="ko-KR"/>
              </w:rPr>
              <w:t>0</w:t>
            </w:r>
            <w:r w:rsidRPr="000759ED">
              <w:rPr>
                <w:rFonts w:eastAsia="MS Mincho" w:cs="v4.2.0"/>
                <w:sz w:val="16"/>
                <w:lang w:eastAsia="ja-JP"/>
              </w:rPr>
              <w:t xml:space="preserve"> </w:t>
            </w:r>
            <w:r w:rsidRPr="000759ED">
              <w:rPr>
                <w:rFonts w:cs="v4.2.0"/>
                <w:sz w:val="16"/>
                <w:lang w:eastAsia="zh-CN"/>
              </w:rPr>
              <w:t>(Note 1)</w:t>
            </w:r>
          </w:p>
        </w:tc>
      </w:tr>
      <w:tr w:rsidR="007A36F5" w14:paraId="376C4D28" w14:textId="77777777" w:rsidTr="000759ED">
        <w:trPr>
          <w:cantSplit/>
          <w:trHeight w:val="201"/>
          <w:jc w:val="center"/>
        </w:trPr>
        <w:tc>
          <w:tcPr>
            <w:tcW w:w="3286" w:type="pct"/>
            <w:tcBorders>
              <w:top w:val="single" w:sz="4" w:space="0" w:color="auto"/>
              <w:left w:val="single" w:sz="4" w:space="0" w:color="auto"/>
              <w:bottom w:val="single" w:sz="4" w:space="0" w:color="auto"/>
              <w:right w:val="single" w:sz="4" w:space="0" w:color="auto"/>
            </w:tcBorders>
            <w:hideMark/>
          </w:tcPr>
          <w:p w14:paraId="53B0219C" w14:textId="77777777" w:rsidR="007A36F5" w:rsidRPr="000759ED" w:rsidRDefault="007A36F5">
            <w:pPr>
              <w:pStyle w:val="TAL"/>
              <w:rPr>
                <w:rFonts w:eastAsia="MS Mincho"/>
                <w:sz w:val="16"/>
                <w:lang w:eastAsia="ja-JP"/>
              </w:rPr>
            </w:pPr>
            <w:r w:rsidRPr="000759ED">
              <w:rPr>
                <w:sz w:val="16"/>
                <w:lang w:eastAsia="ko-KR"/>
              </w:rPr>
              <w:t>FR1 TDD band</w:t>
            </w:r>
            <w:r w:rsidRPr="000759ED">
              <w:rPr>
                <w:rFonts w:eastAsia="MS Mincho"/>
                <w:sz w:val="16"/>
                <w:lang w:eastAsia="ja-JP"/>
              </w:rPr>
              <w:t xml:space="preserve"> </w:t>
            </w:r>
            <w:r w:rsidRPr="000759ED">
              <w:rPr>
                <w:sz w:val="16"/>
                <w:lang w:eastAsia="zh-CN"/>
              </w:rPr>
              <w:t>with LTE-NR coexistence case</w:t>
            </w:r>
          </w:p>
        </w:tc>
        <w:tc>
          <w:tcPr>
            <w:tcW w:w="1714" w:type="pct"/>
            <w:tcBorders>
              <w:top w:val="single" w:sz="4" w:space="0" w:color="auto"/>
              <w:left w:val="single" w:sz="4" w:space="0" w:color="auto"/>
              <w:bottom w:val="single" w:sz="4" w:space="0" w:color="auto"/>
              <w:right w:val="single" w:sz="4" w:space="0" w:color="auto"/>
            </w:tcBorders>
            <w:hideMark/>
          </w:tcPr>
          <w:p w14:paraId="27064AB2" w14:textId="77777777" w:rsidR="007A36F5" w:rsidRPr="000759ED" w:rsidRDefault="007A36F5">
            <w:pPr>
              <w:pStyle w:val="TAL"/>
              <w:rPr>
                <w:rFonts w:cs="v4.2.0"/>
                <w:sz w:val="16"/>
                <w:lang w:eastAsia="zh-CN"/>
              </w:rPr>
            </w:pPr>
            <w:r w:rsidRPr="000759ED">
              <w:rPr>
                <w:rFonts w:cs="v4.2.0"/>
                <w:sz w:val="16"/>
                <w:lang w:eastAsia="ko-KR"/>
              </w:rPr>
              <w:t>39936</w:t>
            </w:r>
            <w:r w:rsidRPr="000759ED">
              <w:rPr>
                <w:rFonts w:cs="v4.2.0"/>
                <w:sz w:val="16"/>
                <w:lang w:eastAsia="zh-CN"/>
              </w:rPr>
              <w:t xml:space="preserve"> or 25600 (Note 1)</w:t>
            </w:r>
          </w:p>
        </w:tc>
      </w:tr>
      <w:tr w:rsidR="007A36F5" w14:paraId="1774B41D" w14:textId="77777777" w:rsidTr="000759ED">
        <w:trPr>
          <w:cantSplit/>
          <w:trHeight w:val="201"/>
          <w:jc w:val="center"/>
        </w:trPr>
        <w:tc>
          <w:tcPr>
            <w:tcW w:w="3286" w:type="pct"/>
            <w:tcBorders>
              <w:top w:val="single" w:sz="4" w:space="0" w:color="auto"/>
              <w:left w:val="single" w:sz="4" w:space="0" w:color="auto"/>
              <w:bottom w:val="single" w:sz="4" w:space="0" w:color="auto"/>
              <w:right w:val="single" w:sz="4" w:space="0" w:color="auto"/>
            </w:tcBorders>
            <w:hideMark/>
          </w:tcPr>
          <w:p w14:paraId="50D8BDBD" w14:textId="77777777" w:rsidR="007A36F5" w:rsidRPr="000759ED" w:rsidRDefault="007A36F5">
            <w:pPr>
              <w:pStyle w:val="TAL"/>
              <w:rPr>
                <w:sz w:val="16"/>
                <w:lang w:eastAsia="ko-KR"/>
              </w:rPr>
            </w:pPr>
            <w:r w:rsidRPr="000759ED">
              <w:rPr>
                <w:sz w:val="16"/>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25F3DD12" w14:textId="77777777" w:rsidR="007A36F5" w:rsidRPr="000759ED" w:rsidRDefault="007A36F5">
            <w:pPr>
              <w:pStyle w:val="TAL"/>
              <w:rPr>
                <w:rFonts w:cs="v4.2.0"/>
                <w:sz w:val="16"/>
                <w:lang w:eastAsia="ko-KR"/>
              </w:rPr>
            </w:pPr>
            <w:r w:rsidRPr="000759ED">
              <w:rPr>
                <w:rFonts w:cs="v4.2.0"/>
                <w:sz w:val="16"/>
                <w:lang w:eastAsia="ko-KR"/>
              </w:rPr>
              <w:t>13792</w:t>
            </w:r>
          </w:p>
        </w:tc>
      </w:tr>
      <w:tr w:rsidR="007A36F5" w14:paraId="44C1148B" w14:textId="77777777" w:rsidTr="000759ED">
        <w:trPr>
          <w:cantSplit/>
          <w:trHeight w:val="148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2E7554" w14:textId="1F73D562" w:rsidR="007A36F5" w:rsidRPr="000759ED" w:rsidRDefault="007A36F5">
            <w:pPr>
              <w:pStyle w:val="TAN"/>
              <w:rPr>
                <w:sz w:val="16"/>
                <w:lang w:eastAsia="ko-KR"/>
              </w:rPr>
            </w:pPr>
            <w:r w:rsidRPr="000759ED">
              <w:rPr>
                <w:sz w:val="16"/>
                <w:lang w:eastAsia="ko-KR"/>
              </w:rPr>
              <w:t>Note 1:</w:t>
            </w:r>
            <w:r w:rsidRPr="000759ED">
              <w:rPr>
                <w:sz w:val="16"/>
                <w:lang w:eastAsia="ko-KR"/>
              </w:rPr>
              <w:tab/>
              <w:t xml:space="preserve">The UE identifies </w:t>
            </w:r>
            <w:r w:rsidRPr="000759ED">
              <w:rPr>
                <w:b/>
                <w:noProof/>
                <w:position w:val="-10"/>
                <w:sz w:val="16"/>
                <w:lang w:eastAsia="ko-KR"/>
              </w:rPr>
              <w:drawing>
                <wp:inline distT="0" distB="0" distL="0" distR="0" wp14:anchorId="474045A8" wp14:editId="384FF022">
                  <wp:extent cx="492760" cy="19113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sidRPr="000759ED">
              <w:rPr>
                <w:sz w:val="16"/>
                <w:lang w:eastAsia="ko-KR"/>
              </w:rPr>
              <w:t xml:space="preserve"> based on the information n-</w:t>
            </w:r>
            <w:proofErr w:type="spellStart"/>
            <w:r w:rsidR="00D65358" w:rsidRPr="000759ED">
              <w:rPr>
                <w:sz w:val="16"/>
                <w:lang w:eastAsia="ko-KR"/>
              </w:rPr>
              <w:t>TimingAdvanceOffset</w:t>
            </w:r>
            <w:proofErr w:type="spellEnd"/>
            <w:r w:rsidRPr="000759ED">
              <w:rPr>
                <w:sz w:val="16"/>
                <w:lang w:eastAsia="ko-KR"/>
              </w:rPr>
              <w:t xml:space="preserve"> according to [2]. If UE do not receive the information n-</w:t>
            </w:r>
            <w:proofErr w:type="spellStart"/>
            <w:r w:rsidRPr="000759ED">
              <w:rPr>
                <w:sz w:val="16"/>
                <w:lang w:eastAsia="ko-KR"/>
              </w:rPr>
              <w:t>TimingAdvanceOffset</w:t>
            </w:r>
            <w:proofErr w:type="spellEnd"/>
            <w:r w:rsidRPr="000759ED">
              <w:rPr>
                <w:sz w:val="16"/>
                <w:lang w:eastAsia="ko-KR"/>
              </w:rPr>
              <w:t xml:space="preserve">, the default value of </w:t>
            </w:r>
            <w:r w:rsidRPr="000759ED">
              <w:rPr>
                <w:b/>
                <w:noProof/>
                <w:position w:val="-10"/>
                <w:sz w:val="16"/>
                <w:lang w:eastAsia="ko-KR"/>
              </w:rPr>
              <w:drawing>
                <wp:inline distT="0" distB="0" distL="0" distR="0" wp14:anchorId="07BD0A3D" wp14:editId="29E626CA">
                  <wp:extent cx="492760" cy="19113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sidRPr="000759ED">
              <w:rPr>
                <w:sz w:val="16"/>
                <w:lang w:eastAsia="ko-KR"/>
              </w:rPr>
              <w:t xml:space="preserve"> is set as </w:t>
            </w:r>
            <w:r w:rsidRPr="000759ED">
              <w:rPr>
                <w:sz w:val="16"/>
                <w:lang w:eastAsia="ja-JP"/>
              </w:rPr>
              <w:t>2560</w:t>
            </w:r>
            <w:r w:rsidRPr="000759ED">
              <w:rPr>
                <w:sz w:val="16"/>
                <w:lang w:eastAsia="ko-KR"/>
              </w:rPr>
              <w:t>0 for FR1 band.</w:t>
            </w:r>
          </w:p>
          <w:p w14:paraId="58580B94" w14:textId="378F8319" w:rsidR="007A36F5" w:rsidRPr="000759ED" w:rsidRDefault="007A36F5">
            <w:pPr>
              <w:pStyle w:val="TAN"/>
              <w:rPr>
                <w:sz w:val="16"/>
                <w:lang w:eastAsia="ko-KR"/>
              </w:rPr>
            </w:pPr>
            <w:r w:rsidRPr="000759ED">
              <w:rPr>
                <w:sz w:val="16"/>
                <w:lang w:eastAsia="ko-KR"/>
              </w:rPr>
              <w:t>Note 2:</w:t>
            </w:r>
            <w:r w:rsidRPr="000759ED">
              <w:rPr>
                <w:sz w:val="16"/>
                <w:lang w:eastAsia="ko-KR"/>
              </w:rPr>
              <w:tab/>
              <w:t xml:space="preserve">The value of </w:t>
            </w:r>
            <w:r w:rsidRPr="000759ED">
              <w:rPr>
                <w:b/>
                <w:noProof/>
                <w:position w:val="-10"/>
                <w:sz w:val="16"/>
                <w:lang w:eastAsia="ko-KR"/>
              </w:rPr>
              <w:drawing>
                <wp:inline distT="0" distB="0" distL="0" distR="0" wp14:anchorId="7A3E6F38" wp14:editId="654F8ADF">
                  <wp:extent cx="492760" cy="19113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760" cy="191135"/>
                          </a:xfrm>
                          <a:prstGeom prst="rect">
                            <a:avLst/>
                          </a:prstGeom>
                          <a:noFill/>
                          <a:ln>
                            <a:noFill/>
                          </a:ln>
                        </pic:spPr>
                      </pic:pic>
                    </a:graphicData>
                  </a:graphic>
                </wp:inline>
              </w:drawing>
            </w:r>
            <w:r w:rsidRPr="000759ED">
              <w:rPr>
                <w:b/>
                <w:sz w:val="16"/>
                <w:lang w:eastAsia="ko-KR"/>
              </w:rPr>
              <w:t xml:space="preserve"> </w:t>
            </w:r>
            <w:r w:rsidRPr="000759ED">
              <w:rPr>
                <w:sz w:val="16"/>
                <w:lang w:eastAsia="ko-KR"/>
              </w:rPr>
              <w:t>that applies to the supplementary UL carrier is determined from the non-supplementary UL carrier.</w:t>
            </w:r>
          </w:p>
        </w:tc>
      </w:tr>
    </w:tbl>
    <w:p w14:paraId="09BD3FD2" w14:textId="77777777" w:rsidR="007A36F5" w:rsidRPr="007A36F5" w:rsidRDefault="007A36F5" w:rsidP="0029518B">
      <w:pPr>
        <w:spacing w:after="120"/>
        <w:jc w:val="both"/>
        <w:rPr>
          <w:rFonts w:eastAsia="MS Mincho"/>
          <w:lang w:val="en-US" w:eastAsia="ja-JP"/>
        </w:rPr>
      </w:pPr>
    </w:p>
    <w:p w14:paraId="06E1FFF7" w14:textId="4F38AC41" w:rsidR="00A922AA" w:rsidRDefault="00F36C68" w:rsidP="0029518B">
      <w:pPr>
        <w:spacing w:after="120"/>
        <w:jc w:val="both"/>
        <w:rPr>
          <w:rFonts w:eastAsia="MS Mincho"/>
          <w:lang w:eastAsia="ja-JP"/>
        </w:rPr>
      </w:pPr>
      <w:r>
        <w:rPr>
          <w:rFonts w:eastAsia="MS Mincho"/>
          <w:lang w:eastAsia="ja-JP"/>
        </w:rPr>
        <w:t>The</w:t>
      </w:r>
      <w:r w:rsidR="00681F5B" w:rsidRPr="00681F5B">
        <w:rPr>
          <w:rFonts w:eastAsia="MS Mincho"/>
          <w:lang w:eastAsia="ja-JP"/>
        </w:rPr>
        <w:t xml:space="preserve"> </w:t>
      </w:r>
      <w:proofErr w:type="spellStart"/>
      <w:r w:rsidR="00681F5B">
        <w:rPr>
          <w:rFonts w:eastAsia="MS Mincho"/>
          <w:lang w:eastAsia="ja-JP"/>
        </w:rPr>
        <w:t>N</w:t>
      </w:r>
      <w:r w:rsidR="00D65358">
        <w:rPr>
          <w:rFonts w:eastAsia="MS Mincho"/>
          <w:vertAlign w:val="subscript"/>
          <w:lang w:eastAsia="ja-JP"/>
        </w:rPr>
        <w:t>TAo</w:t>
      </w:r>
      <w:r w:rsidR="00681F5B" w:rsidRPr="00D729AE">
        <w:rPr>
          <w:rFonts w:eastAsia="MS Mincho"/>
          <w:vertAlign w:val="subscript"/>
          <w:lang w:eastAsia="ja-JP"/>
        </w:rPr>
        <w:t>ffset</w:t>
      </w:r>
      <w:proofErr w:type="spellEnd"/>
      <w:r>
        <w:rPr>
          <w:rFonts w:eastAsia="MS Mincho"/>
          <w:lang w:eastAsia="ja-JP"/>
        </w:rPr>
        <w:t xml:space="preserve"> is </w:t>
      </w:r>
      <w:r w:rsidR="000B6FD2">
        <w:rPr>
          <w:rFonts w:eastAsia="MS Mincho"/>
          <w:lang w:eastAsia="ja-JP"/>
        </w:rPr>
        <w:t xml:space="preserve">providing a gap for RX/TX switching and it is </w:t>
      </w:r>
      <w:r>
        <w:rPr>
          <w:rFonts w:eastAsia="MS Mincho"/>
          <w:lang w:eastAsia="ja-JP"/>
        </w:rPr>
        <w:t>dependent on used frequency band (FR1/FR2) and</w:t>
      </w:r>
      <w:r w:rsidR="00681F5B">
        <w:rPr>
          <w:rFonts w:eastAsia="MS Mincho"/>
          <w:lang w:eastAsia="ja-JP"/>
        </w:rPr>
        <w:t xml:space="preserve"> coexistence </w:t>
      </w:r>
      <w:r w:rsidR="00AF30DC">
        <w:rPr>
          <w:rFonts w:eastAsia="MS Mincho"/>
          <w:lang w:eastAsia="ja-JP"/>
        </w:rPr>
        <w:t xml:space="preserve">with </w:t>
      </w:r>
      <w:r w:rsidR="00681F5B">
        <w:rPr>
          <w:rFonts w:eastAsia="MS Mincho"/>
          <w:lang w:eastAsia="ja-JP"/>
        </w:rPr>
        <w:t>LTE</w:t>
      </w:r>
      <w:r w:rsidR="000B6FD2">
        <w:rPr>
          <w:rFonts w:eastAsia="MS Mincho"/>
          <w:lang w:eastAsia="ja-JP"/>
        </w:rPr>
        <w:t xml:space="preserve"> according to the table above</w:t>
      </w:r>
      <w:r w:rsidR="00681F5B">
        <w:rPr>
          <w:rFonts w:eastAsia="MS Mincho"/>
          <w:lang w:eastAsia="ja-JP"/>
        </w:rPr>
        <w:t xml:space="preserve">. The value </w:t>
      </w:r>
      <w:r w:rsidR="000B6FD2">
        <w:rPr>
          <w:rFonts w:eastAsia="MS Mincho"/>
          <w:lang w:eastAsia="ja-JP"/>
        </w:rPr>
        <w:t xml:space="preserve">of </w:t>
      </w:r>
      <w:proofErr w:type="spellStart"/>
      <w:r w:rsidR="000759ED">
        <w:rPr>
          <w:rFonts w:eastAsia="MS Mincho"/>
          <w:lang w:eastAsia="ja-JP"/>
        </w:rPr>
        <w:t>N</w:t>
      </w:r>
      <w:r w:rsidR="000759ED">
        <w:rPr>
          <w:rFonts w:eastAsia="MS Mincho"/>
          <w:vertAlign w:val="subscript"/>
          <w:lang w:eastAsia="ja-JP"/>
        </w:rPr>
        <w:t>TAo</w:t>
      </w:r>
      <w:r w:rsidR="000759ED" w:rsidRPr="00D729AE">
        <w:rPr>
          <w:rFonts w:eastAsia="MS Mincho"/>
          <w:vertAlign w:val="subscript"/>
          <w:lang w:eastAsia="ja-JP"/>
        </w:rPr>
        <w:t>ffset</w:t>
      </w:r>
      <w:proofErr w:type="spellEnd"/>
      <w:r w:rsidR="000759ED">
        <w:rPr>
          <w:rFonts w:eastAsia="MS Mincho"/>
          <w:lang w:eastAsia="ja-JP"/>
        </w:rPr>
        <w:t xml:space="preserve"> </w:t>
      </w:r>
      <w:r w:rsidR="00031E62">
        <w:rPr>
          <w:rFonts w:eastAsia="MS Mincho"/>
          <w:lang w:eastAsia="ja-JP"/>
        </w:rPr>
        <w:t xml:space="preserve">can be indicated </w:t>
      </w:r>
      <w:r w:rsidR="00681F5B">
        <w:rPr>
          <w:rFonts w:eastAsia="MS Mincho"/>
          <w:lang w:eastAsia="ja-JP"/>
        </w:rPr>
        <w:t>in SIB1 or in dedicated signalling.</w:t>
      </w:r>
      <w:r w:rsidR="00031E62">
        <w:rPr>
          <w:rFonts w:eastAsia="MS Mincho"/>
          <w:lang w:eastAsia="ja-JP"/>
        </w:rPr>
        <w:t xml:space="preserve"> If the IE is omitted the default value of 25600 is used in FR1. In FR2 is it fixed to 13792.</w:t>
      </w:r>
      <w:r w:rsidR="00D23BC4">
        <w:rPr>
          <w:rFonts w:eastAsia="MS Mincho"/>
          <w:lang w:eastAsia="ja-JP"/>
        </w:rPr>
        <w:t xml:space="preserve"> For the IAB synchronization it is assumed that the parent node follows the respective </w:t>
      </w:r>
      <w:proofErr w:type="spellStart"/>
      <w:r w:rsidR="00D23BC4">
        <w:rPr>
          <w:rFonts w:eastAsia="MS Mincho"/>
          <w:lang w:eastAsia="ja-JP"/>
        </w:rPr>
        <w:t>N</w:t>
      </w:r>
      <w:r w:rsidR="00D23BC4" w:rsidRPr="007211A6">
        <w:rPr>
          <w:rFonts w:eastAsia="MS Mincho"/>
          <w:vertAlign w:val="subscript"/>
          <w:lang w:eastAsia="ja-JP"/>
        </w:rPr>
        <w:t>TAoffset</w:t>
      </w:r>
      <w:proofErr w:type="spellEnd"/>
      <w:r w:rsidR="00D23BC4">
        <w:rPr>
          <w:rFonts w:eastAsia="MS Mincho"/>
          <w:lang w:eastAsia="ja-JP"/>
        </w:rPr>
        <w:t xml:space="preserve"> value when controlling the UL RX timing for the child nodes.</w:t>
      </w:r>
    </w:p>
    <w:p w14:paraId="34EF637C" w14:textId="77777777" w:rsidR="00CE0BC1" w:rsidRDefault="00CE0BC1" w:rsidP="0029518B">
      <w:pPr>
        <w:spacing w:after="120"/>
        <w:jc w:val="both"/>
        <w:rPr>
          <w:rFonts w:eastAsia="MS Mincho"/>
          <w:lang w:eastAsia="ja-JP"/>
        </w:rPr>
      </w:pPr>
    </w:p>
    <w:p w14:paraId="7629C9C6" w14:textId="284F2513" w:rsidR="00303962" w:rsidRDefault="00303962" w:rsidP="00303962">
      <w:pPr>
        <w:pStyle w:val="Heading2"/>
        <w:rPr>
          <w:lang w:val="en-US"/>
        </w:rPr>
      </w:pPr>
      <w:r>
        <w:rPr>
          <w:lang w:val="en-US"/>
        </w:rPr>
        <w:lastRenderedPageBreak/>
        <w:t>2.2</w:t>
      </w:r>
      <w:r>
        <w:rPr>
          <w:lang w:val="en-US"/>
        </w:rPr>
        <w:tab/>
      </w:r>
      <w:r w:rsidR="006B2BEB">
        <w:rPr>
          <w:lang w:val="en-US"/>
        </w:rPr>
        <w:t xml:space="preserve">OTA synchronization in </w:t>
      </w:r>
      <w:r>
        <w:rPr>
          <w:lang w:val="en-US"/>
        </w:rPr>
        <w:t>Case #1</w:t>
      </w:r>
    </w:p>
    <w:p w14:paraId="3C2E96AF" w14:textId="1A08991E" w:rsidR="00303962" w:rsidRDefault="009A162D" w:rsidP="00263C32">
      <w:pPr>
        <w:spacing w:after="240"/>
        <w:jc w:val="both"/>
        <w:rPr>
          <w:rFonts w:eastAsia="MS Mincho"/>
          <w:lang w:val="en-US" w:eastAsia="ja-JP"/>
        </w:rPr>
      </w:pPr>
      <w:r>
        <w:rPr>
          <w:rFonts w:eastAsia="MS Mincho"/>
          <w:lang w:val="en-US" w:eastAsia="ja-JP"/>
        </w:rPr>
        <w:fldChar w:fldCharType="begin"/>
      </w:r>
      <w:r>
        <w:rPr>
          <w:rFonts w:eastAsia="MS Mincho"/>
          <w:lang w:val="en-US" w:eastAsia="ja-JP"/>
        </w:rPr>
        <w:instrText xml:space="preserve"> REF _Ref533077582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xml:space="preserve"> shows the Case #1 in a two-hop scenario. The Donor provides the reference timing with the accuracy based on the gNB timing requirements. IAB nodes adjust their timing </w:t>
      </w:r>
      <w:r w:rsidR="00102D07">
        <w:rPr>
          <w:rFonts w:eastAsia="MS Mincho"/>
          <w:lang w:val="en-US" w:eastAsia="ja-JP"/>
        </w:rPr>
        <w:t>to be aligned with the Donor timing resulting in synchronized DL in cells served by nodes with fixed and wireless BH connections.</w:t>
      </w:r>
      <w:r w:rsidR="00397C1D">
        <w:rPr>
          <w:rFonts w:eastAsia="MS Mincho"/>
          <w:lang w:val="en-US" w:eastAsia="ja-JP"/>
        </w:rPr>
        <w:t xml:space="preserve"> In </w:t>
      </w:r>
      <w:r w:rsidR="00397C1D">
        <w:rPr>
          <w:rFonts w:eastAsia="MS Mincho"/>
          <w:lang w:val="en-US" w:eastAsia="ja-JP"/>
        </w:rPr>
        <w:fldChar w:fldCharType="begin"/>
      </w:r>
      <w:r w:rsidR="00397C1D">
        <w:rPr>
          <w:rFonts w:eastAsia="MS Mincho"/>
          <w:lang w:val="en-US" w:eastAsia="ja-JP"/>
        </w:rPr>
        <w:instrText xml:space="preserve"> REF _Ref533077582 \h </w:instrText>
      </w:r>
      <w:r w:rsidR="00397C1D">
        <w:rPr>
          <w:rFonts w:eastAsia="MS Mincho"/>
          <w:lang w:val="en-US" w:eastAsia="ja-JP"/>
        </w:rPr>
      </w:r>
      <w:r w:rsidR="00397C1D">
        <w:rPr>
          <w:rFonts w:eastAsia="MS Mincho"/>
          <w:lang w:val="en-US" w:eastAsia="ja-JP"/>
        </w:rPr>
        <w:fldChar w:fldCharType="separate"/>
      </w:r>
      <w:r w:rsidR="00397C1D">
        <w:t xml:space="preserve">Figure </w:t>
      </w:r>
      <w:r w:rsidR="00397C1D">
        <w:rPr>
          <w:noProof/>
        </w:rPr>
        <w:t>1</w:t>
      </w:r>
      <w:r w:rsidR="00397C1D">
        <w:rPr>
          <w:rFonts w:eastAsia="MS Mincho"/>
          <w:lang w:val="en-US" w:eastAsia="ja-JP"/>
        </w:rPr>
        <w:fldChar w:fldCharType="end"/>
      </w:r>
      <w:r w:rsidR="00397C1D">
        <w:rPr>
          <w:rFonts w:eastAsia="MS Mincho"/>
          <w:lang w:val="en-US" w:eastAsia="ja-JP"/>
        </w:rPr>
        <w:t xml:space="preserve"> white and grey bars indicate RX and TX signals, respectively.</w:t>
      </w:r>
    </w:p>
    <w:p w14:paraId="235401E6" w14:textId="63AF87C7" w:rsidR="009A162D" w:rsidRDefault="00D23BC4" w:rsidP="009A162D">
      <w:pPr>
        <w:spacing w:after="40"/>
        <w:jc w:val="center"/>
        <w:rPr>
          <w:rFonts w:eastAsia="MS Mincho"/>
          <w:lang w:val="en-US" w:eastAsia="ja-JP"/>
        </w:rPr>
      </w:pPr>
      <w:r w:rsidRPr="003F1AFA">
        <w:rPr>
          <w:noProof/>
        </w:rPr>
        <w:drawing>
          <wp:inline distT="0" distB="0" distL="0" distR="0" wp14:anchorId="5FF8B662" wp14:editId="6379A651">
            <wp:extent cx="3657600" cy="316220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9138" cy="3180824"/>
                    </a:xfrm>
                    <a:prstGeom prst="rect">
                      <a:avLst/>
                    </a:prstGeom>
                    <a:noFill/>
                    <a:ln>
                      <a:noFill/>
                    </a:ln>
                  </pic:spPr>
                </pic:pic>
              </a:graphicData>
            </a:graphic>
          </wp:inline>
        </w:drawing>
      </w:r>
    </w:p>
    <w:p w14:paraId="1432D90C" w14:textId="6EB7A171" w:rsidR="009A162D" w:rsidRDefault="009A162D" w:rsidP="009A162D">
      <w:pPr>
        <w:pStyle w:val="Caption"/>
        <w:jc w:val="center"/>
      </w:pPr>
      <w:bookmarkStart w:id="3" w:name="_Ref533077582"/>
      <w:r>
        <w:t xml:space="preserve">Figure </w:t>
      </w:r>
      <w:r>
        <w:fldChar w:fldCharType="begin"/>
      </w:r>
      <w:r>
        <w:instrText xml:space="preserve"> SEQ Figure \* ARABIC </w:instrText>
      </w:r>
      <w:r>
        <w:fldChar w:fldCharType="separate"/>
      </w:r>
      <w:r>
        <w:rPr>
          <w:noProof/>
        </w:rPr>
        <w:t>1</w:t>
      </w:r>
      <w:r>
        <w:fldChar w:fldCharType="end"/>
      </w:r>
      <w:bookmarkEnd w:id="3"/>
      <w:r>
        <w:t xml:space="preserve"> IAB Case #1 timing</w:t>
      </w:r>
    </w:p>
    <w:p w14:paraId="7D349A80" w14:textId="4888E188" w:rsidR="00764048" w:rsidRDefault="002A31F0" w:rsidP="00FF5F23">
      <w:pPr>
        <w:jc w:val="both"/>
      </w:pPr>
      <w:r>
        <w:t xml:space="preserve">As discussed in 2.1 the UL RX timing at the parent/donor will be set with the TA control loop to be </w:t>
      </w:r>
      <w:proofErr w:type="spellStart"/>
      <w:r>
        <w:t>T</w:t>
      </w:r>
      <w:r w:rsidR="00D23BC4">
        <w:t>A</w:t>
      </w:r>
      <w:r w:rsidRPr="002A31F0">
        <w:rPr>
          <w:vertAlign w:val="subscript"/>
        </w:rPr>
        <w:t>Offset</w:t>
      </w:r>
      <w:proofErr w:type="spellEnd"/>
      <w:r>
        <w:t xml:space="preserve"> in offset w.r.t. DL TX timing. In practice the UL timing may not be exactly as indicated by </w:t>
      </w:r>
      <w:proofErr w:type="spellStart"/>
      <w:r>
        <w:t>T</w:t>
      </w:r>
      <w:r w:rsidR="00D23BC4">
        <w:t>A</w:t>
      </w:r>
      <w:r w:rsidRPr="002A31F0">
        <w:rPr>
          <w:vertAlign w:val="subscript"/>
        </w:rPr>
        <w:t>Offset</w:t>
      </w:r>
      <w:proofErr w:type="spellEnd"/>
      <w:r>
        <w:t xml:space="preserve"> but there can be a deviation, indicated by </w:t>
      </w:r>
      <w:proofErr w:type="spellStart"/>
      <w:r>
        <w:t>T</w:t>
      </w:r>
      <w:r w:rsidR="00263C32">
        <w:rPr>
          <w:vertAlign w:val="subscript"/>
        </w:rPr>
        <w:t>D</w:t>
      </w:r>
      <w:r w:rsidRPr="002A31F0">
        <w:rPr>
          <w:vertAlign w:val="subscript"/>
        </w:rPr>
        <w:t>ev</w:t>
      </w:r>
      <w:proofErr w:type="spellEnd"/>
      <w:r>
        <w:t xml:space="preserve"> in </w:t>
      </w:r>
      <w:r>
        <w:fldChar w:fldCharType="begin"/>
      </w:r>
      <w:r>
        <w:instrText xml:space="preserve"> REF _Ref533077582 \h </w:instrText>
      </w:r>
      <w:r w:rsidR="00396B4A">
        <w:instrText xml:space="preserve"> \* MERGEFORMAT </w:instrText>
      </w:r>
      <w:r>
        <w:fldChar w:fldCharType="separate"/>
      </w:r>
      <w:r>
        <w:t xml:space="preserve">Figure </w:t>
      </w:r>
      <w:r>
        <w:rPr>
          <w:noProof/>
        </w:rPr>
        <w:t>1</w:t>
      </w:r>
      <w:r>
        <w:fldChar w:fldCharType="end"/>
      </w:r>
      <w:r>
        <w:t xml:space="preserve">. The deviation can be caused by </w:t>
      </w:r>
      <w:r w:rsidR="00B51156">
        <w:t xml:space="preserve">the </w:t>
      </w:r>
      <w:r>
        <w:t xml:space="preserve">granularity of the TA </w:t>
      </w:r>
      <w:r w:rsidR="00416DA7">
        <w:t xml:space="preserve">command, latency in the TA loop </w:t>
      </w:r>
      <w:r w:rsidR="006C1C24">
        <w:t xml:space="preserve">or time drift due to local oscillator at the </w:t>
      </w:r>
      <w:r w:rsidR="00764048">
        <w:t xml:space="preserve">(either parent or child) </w:t>
      </w:r>
      <w:r w:rsidR="006C1C24">
        <w:t>IAB node.</w:t>
      </w:r>
    </w:p>
    <w:p w14:paraId="5C4666D0" w14:textId="6ABFC8D4" w:rsidR="00262541" w:rsidRDefault="00764048" w:rsidP="00FF5F23">
      <w:pPr>
        <w:jc w:val="both"/>
      </w:pPr>
      <w:r>
        <w:t xml:space="preserve">The </w:t>
      </w:r>
      <w:proofErr w:type="spellStart"/>
      <w:r>
        <w:t>T</w:t>
      </w:r>
      <w:r w:rsidR="00263C32">
        <w:rPr>
          <w:vertAlign w:val="subscript"/>
        </w:rPr>
        <w:t>D</w:t>
      </w:r>
      <w:r w:rsidRPr="002A31F0">
        <w:rPr>
          <w:vertAlign w:val="subscript"/>
        </w:rPr>
        <w:t>ev</w:t>
      </w:r>
      <w:proofErr w:type="spellEnd"/>
      <w:r>
        <w:t xml:space="preserve">, however, </w:t>
      </w:r>
      <w:r w:rsidR="00CE0BC1">
        <w:t xml:space="preserve">is in practice </w:t>
      </w:r>
      <w:r>
        <w:t xml:space="preserve">included in the timing error calculation as discussed e.g. in </w:t>
      </w:r>
      <w:r w:rsidR="0075251F">
        <w:fldChar w:fldCharType="begin"/>
      </w:r>
      <w:r w:rsidR="0075251F">
        <w:instrText xml:space="preserve"> REF _Ref534197958 \r \h </w:instrText>
      </w:r>
      <w:r w:rsidR="00396B4A">
        <w:instrText xml:space="preserve"> \* MERGEFORMAT </w:instrText>
      </w:r>
      <w:r w:rsidR="0075251F">
        <w:fldChar w:fldCharType="separate"/>
      </w:r>
      <w:r w:rsidR="0075251F">
        <w:t>[6]</w:t>
      </w:r>
      <w:r w:rsidR="0075251F">
        <w:fldChar w:fldCharType="end"/>
      </w:r>
      <w:r w:rsidR="000624AA">
        <w:t xml:space="preserve"> as it will be affected by the TX/RX timing inaccuracies which in turn will affect the TA control</w:t>
      </w:r>
      <w:r>
        <w:t>.</w:t>
      </w:r>
      <w:r w:rsidR="000624AA">
        <w:t xml:space="preserve"> </w:t>
      </w:r>
      <w:r w:rsidR="00FE2AE3">
        <w:t xml:space="preserve">The TA granularity is </w:t>
      </w:r>
      <w:proofErr w:type="gramStart"/>
      <w:r w:rsidR="00FE2AE3">
        <w:t>taken into account</w:t>
      </w:r>
      <w:proofErr w:type="gramEnd"/>
      <w:r w:rsidR="00FE2AE3">
        <w:t xml:space="preserve"> in the timing error calculations. The latency of the TA command is not an issue in IAB deployment where the locations are </w:t>
      </w:r>
      <w:proofErr w:type="gramStart"/>
      <w:r w:rsidR="00FE2AE3">
        <w:t>fixed</w:t>
      </w:r>
      <w:proofErr w:type="gramEnd"/>
      <w:r w:rsidR="00FE2AE3">
        <w:t xml:space="preserve"> and the oscillators are more stable than those in normal UEs. The averaging can have longer periodicities</w:t>
      </w:r>
      <w:r w:rsidR="00D23BC4">
        <w:t xml:space="preserve"> resulting in more accurate estimates</w:t>
      </w:r>
      <w:r w:rsidR="00FE2AE3">
        <w:t xml:space="preserve">. </w:t>
      </w:r>
      <w:r w:rsidR="00262541">
        <w:t xml:space="preserve">Furthermore, BH links can typically have LOS connections and/or utilizing narrow beams so that the timing estimation </w:t>
      </w:r>
      <w:proofErr w:type="gramStart"/>
      <w:r w:rsidR="00262541">
        <w:t>has to</w:t>
      </w:r>
      <w:proofErr w:type="gramEnd"/>
      <w:r w:rsidR="00262541">
        <w:t xml:space="preserve"> cope with no or only very limited delay spread minim</w:t>
      </w:r>
      <w:r w:rsidR="00D23BC4">
        <w:t>izing</w:t>
      </w:r>
      <w:r w:rsidR="00262541">
        <w:t xml:space="preserve"> the timing estimation error. For these reasons, the number of supported hops </w:t>
      </w:r>
      <w:r w:rsidR="00CE0BC1">
        <w:t xml:space="preserve">may </w:t>
      </w:r>
      <w:r w:rsidR="00262541">
        <w:t>in practice exceed 5 hops in FR2.</w:t>
      </w:r>
    </w:p>
    <w:p w14:paraId="72DD4E5F" w14:textId="44853552" w:rsidR="00262541" w:rsidRDefault="00FE2AE3" w:rsidP="00FF5F23">
      <w:pPr>
        <w:jc w:val="both"/>
      </w:pPr>
      <w:r>
        <w:t xml:space="preserve">The oscillator drift will affect both the DL RX timing and the UL TX timing </w:t>
      </w:r>
      <w:r w:rsidR="00CE0BC1">
        <w:t xml:space="preserve">or the IAB node </w:t>
      </w:r>
      <w:r>
        <w:t>where the RX timing is the reference for the TX TA adjustment. Therefore, the TA loop will eventually correct the potential timing drift due to oscillator inaccuracy.</w:t>
      </w:r>
    </w:p>
    <w:p w14:paraId="76411435" w14:textId="3AC23DD5" w:rsidR="00D23BC4" w:rsidRDefault="00262541" w:rsidP="00FF5F23">
      <w:pPr>
        <w:jc w:val="both"/>
      </w:pPr>
      <w:r>
        <w:t>Considering the above</w:t>
      </w:r>
      <w:r w:rsidR="00FE2AE3">
        <w:t>, i</w:t>
      </w:r>
      <w:r w:rsidR="000624AA">
        <w:t xml:space="preserve">f we assume that the number of hops supported by the OTA synchronization </w:t>
      </w:r>
      <w:r w:rsidR="00FE2AE3">
        <w:t>(</w:t>
      </w:r>
      <w:r w:rsidR="00CE0BC1">
        <w:t xml:space="preserve">at least </w:t>
      </w:r>
      <w:r w:rsidR="00FE2AE3">
        <w:t>5 hops for FR2</w:t>
      </w:r>
      <w:r w:rsidR="00CE0BC1">
        <w:t xml:space="preserve"> and 1 hop for FR1</w:t>
      </w:r>
      <w:r w:rsidR="00FE2AE3">
        <w:t xml:space="preserve">) </w:t>
      </w:r>
      <w:r w:rsidR="000624AA">
        <w:t xml:space="preserve">is sufficient for Rel.16, there </w:t>
      </w:r>
      <w:r w:rsidR="00D23BC4">
        <w:t xml:space="preserve">does not seem to be </w:t>
      </w:r>
      <w:r w:rsidR="000624AA">
        <w:t xml:space="preserve">need </w:t>
      </w:r>
      <w:r w:rsidR="00D23BC4">
        <w:t xml:space="preserve">for </w:t>
      </w:r>
      <w:r w:rsidR="000624AA">
        <w:t>specify</w:t>
      </w:r>
      <w:r w:rsidR="00D23BC4">
        <w:t>ing</w:t>
      </w:r>
      <w:r w:rsidR="000624AA">
        <w:t xml:space="preserve"> additional signalling </w:t>
      </w:r>
      <w:r w:rsidR="00FE2AE3">
        <w:t>for Case #1</w:t>
      </w:r>
      <w:r w:rsidR="00D23BC4">
        <w:t xml:space="preserve"> timing</w:t>
      </w:r>
      <w:r w:rsidR="00FE2AE3">
        <w:t>.</w:t>
      </w:r>
    </w:p>
    <w:p w14:paraId="3339E4D1" w14:textId="2B69B44B" w:rsidR="00B72349" w:rsidRDefault="00D23BC4" w:rsidP="00FF5F23">
      <w:pPr>
        <w:jc w:val="both"/>
      </w:pPr>
      <w:r>
        <w:t xml:space="preserve">On FR1, </w:t>
      </w:r>
      <w:r w:rsidR="00B72349">
        <w:t xml:space="preserve">IAB deployment and relaying is less probable due to limited capacity. Also, the coverage is comparable to LTE and therefore the need for extended coverage by using additional sites will be lower. If extended coverage </w:t>
      </w:r>
      <w:r w:rsidR="00262541">
        <w:t>was anyway needed, likely one hop</w:t>
      </w:r>
      <w:r w:rsidR="00B72349">
        <w:t xml:space="preserve"> relaying will be sufficient in majority of the cases.</w:t>
      </w:r>
    </w:p>
    <w:p w14:paraId="4581E9EC" w14:textId="13461F48" w:rsidR="00B72349" w:rsidRPr="00B72349" w:rsidRDefault="00B72349" w:rsidP="00FF5F23">
      <w:pPr>
        <w:jc w:val="both"/>
        <w:rPr>
          <w:b/>
        </w:rPr>
      </w:pPr>
      <w:r w:rsidRPr="00B72349">
        <w:rPr>
          <w:b/>
        </w:rPr>
        <w:t>Observation 1: The practical number of supported BH hops seems sufficient in the anticipated IAB deployment scenarios.</w:t>
      </w:r>
    </w:p>
    <w:p w14:paraId="4674CD85" w14:textId="2B61FFEB" w:rsidR="00764048" w:rsidRDefault="00B72349" w:rsidP="00FF5F23">
      <w:pPr>
        <w:jc w:val="both"/>
      </w:pPr>
      <w:r>
        <w:t>Considering the discussion above, we think that for Rel.16 current specifications should be sufficient for OTA synchronization meeting the IAB requirements in typical deployment scenarios.</w:t>
      </w:r>
    </w:p>
    <w:p w14:paraId="7AC62D49" w14:textId="6D498EC8" w:rsidR="00E710CB" w:rsidRDefault="004B4FCA" w:rsidP="00FF5F23">
      <w:pPr>
        <w:jc w:val="both"/>
        <w:rPr>
          <w:b/>
          <w:lang w:val="en-US"/>
        </w:rPr>
      </w:pPr>
      <w:r>
        <w:rPr>
          <w:b/>
        </w:rPr>
        <w:t>Proposal 1</w:t>
      </w:r>
      <w:r w:rsidR="00961796" w:rsidRPr="00416DA7">
        <w:rPr>
          <w:b/>
        </w:rPr>
        <w:t>:</w:t>
      </w:r>
      <w:r w:rsidR="009C2A1F">
        <w:rPr>
          <w:b/>
        </w:rPr>
        <w:t xml:space="preserve"> For IAB synchronization</w:t>
      </w:r>
      <w:r w:rsidR="00271994">
        <w:rPr>
          <w:b/>
        </w:rPr>
        <w:t>,</w:t>
      </w:r>
      <w:r w:rsidR="009C2A1F">
        <w:rPr>
          <w:b/>
        </w:rPr>
        <w:t xml:space="preserve"> </w:t>
      </w:r>
      <w:r w:rsidR="00EA7692">
        <w:rPr>
          <w:b/>
        </w:rPr>
        <w:t xml:space="preserve">Rel.15 </w:t>
      </w:r>
      <w:r w:rsidR="009C2A1F">
        <w:rPr>
          <w:b/>
        </w:rPr>
        <w:t xml:space="preserve">TA control </w:t>
      </w:r>
      <w:r w:rsidR="00271994">
        <w:rPr>
          <w:b/>
        </w:rPr>
        <w:t xml:space="preserve">signalling can be used </w:t>
      </w:r>
      <w:r w:rsidR="009C2A1F">
        <w:rPr>
          <w:b/>
        </w:rPr>
        <w:t xml:space="preserve">for OTA </w:t>
      </w:r>
      <w:r w:rsidR="00CE0BC1">
        <w:rPr>
          <w:b/>
        </w:rPr>
        <w:t xml:space="preserve">based </w:t>
      </w:r>
      <w:r w:rsidR="009C2A1F">
        <w:rPr>
          <w:b/>
        </w:rPr>
        <w:t>synchronization</w:t>
      </w:r>
      <w:r w:rsidR="006C69F6" w:rsidRPr="006C69F6">
        <w:rPr>
          <w:b/>
          <w:lang w:val="en-US"/>
        </w:rPr>
        <w:t>.</w:t>
      </w:r>
    </w:p>
    <w:p w14:paraId="4160BD42" w14:textId="09043263" w:rsidR="004B4FCA" w:rsidRDefault="004B4FCA" w:rsidP="004B4FCA">
      <w:pPr>
        <w:rPr>
          <w:lang w:val="en-US"/>
        </w:rPr>
      </w:pPr>
    </w:p>
    <w:p w14:paraId="059E483E" w14:textId="53FE3EBB" w:rsidR="006B2BEB" w:rsidRDefault="006B2BEB" w:rsidP="006B2BEB">
      <w:pPr>
        <w:pStyle w:val="Heading2"/>
        <w:rPr>
          <w:lang w:val="en-US"/>
        </w:rPr>
      </w:pPr>
      <w:r>
        <w:rPr>
          <w:lang w:val="en-US"/>
        </w:rPr>
        <w:t>2.3</w:t>
      </w:r>
      <w:r>
        <w:rPr>
          <w:lang w:val="en-US"/>
        </w:rPr>
        <w:tab/>
        <w:t>Synchronization signals</w:t>
      </w:r>
    </w:p>
    <w:p w14:paraId="08811CAB" w14:textId="362F6FB0" w:rsidR="00C80C4B" w:rsidRDefault="006B2BEB" w:rsidP="00FF5F23">
      <w:pPr>
        <w:jc w:val="both"/>
        <w:rPr>
          <w:rFonts w:eastAsia="MS Mincho"/>
          <w:lang w:val="en-US" w:eastAsia="ja-JP"/>
        </w:rPr>
      </w:pPr>
      <w:r>
        <w:rPr>
          <w:rFonts w:eastAsia="MS Mincho"/>
          <w:lang w:val="en-US" w:eastAsia="ja-JP"/>
        </w:rPr>
        <w:t xml:space="preserve">The initial synchronization is based on SS signals which have limited bandwidth. This limits also the achievable accuracy of the timing estimation. </w:t>
      </w:r>
      <w:r w:rsidR="00C80C4B">
        <w:rPr>
          <w:rFonts w:eastAsia="MS Mincho"/>
          <w:lang w:val="en-US" w:eastAsia="ja-JP"/>
        </w:rPr>
        <w:t xml:space="preserve">This has some meaning only during the initial access but in connected mode </w:t>
      </w:r>
      <w:r>
        <w:rPr>
          <w:rFonts w:eastAsia="MS Mincho"/>
          <w:lang w:val="en-US" w:eastAsia="ja-JP"/>
        </w:rPr>
        <w:t xml:space="preserve">improved accuracy is </w:t>
      </w:r>
      <w:r w:rsidR="00C80C4B">
        <w:rPr>
          <w:rFonts w:eastAsia="MS Mincho"/>
          <w:lang w:val="en-US" w:eastAsia="ja-JP"/>
        </w:rPr>
        <w:t>achieved by configuring</w:t>
      </w:r>
      <w:r>
        <w:rPr>
          <w:rFonts w:eastAsia="MS Mincho"/>
          <w:lang w:val="en-US" w:eastAsia="ja-JP"/>
        </w:rPr>
        <w:t xml:space="preserve"> TRS signals for betters timing </w:t>
      </w:r>
      <w:r w:rsidR="00C80C4B">
        <w:rPr>
          <w:rFonts w:eastAsia="MS Mincho"/>
          <w:lang w:val="en-US" w:eastAsia="ja-JP"/>
        </w:rPr>
        <w:t>estimation</w:t>
      </w:r>
      <w:r>
        <w:rPr>
          <w:rFonts w:eastAsia="MS Mincho"/>
          <w:lang w:val="en-US" w:eastAsia="ja-JP"/>
        </w:rPr>
        <w:t xml:space="preserve">. </w:t>
      </w:r>
      <w:r w:rsidR="00C80C4B">
        <w:rPr>
          <w:rFonts w:eastAsia="MS Mincho"/>
          <w:lang w:val="en-US" w:eastAsia="ja-JP"/>
        </w:rPr>
        <w:t xml:space="preserve">While active, IAB nodes will be in connected mode and the timing estimation </w:t>
      </w:r>
      <w:r w:rsidR="00054C8A">
        <w:rPr>
          <w:rFonts w:eastAsia="MS Mincho"/>
          <w:lang w:val="en-US" w:eastAsia="ja-JP"/>
        </w:rPr>
        <w:t xml:space="preserve">can be </w:t>
      </w:r>
      <w:r w:rsidR="00C80C4B">
        <w:rPr>
          <w:rFonts w:eastAsia="MS Mincho"/>
          <w:lang w:val="en-US" w:eastAsia="ja-JP"/>
        </w:rPr>
        <w:t>based on TRS</w:t>
      </w:r>
      <w:r w:rsidR="008D6FE4">
        <w:rPr>
          <w:rFonts w:eastAsia="MS Mincho"/>
          <w:lang w:val="en-US" w:eastAsia="ja-JP"/>
        </w:rPr>
        <w:t xml:space="preserve"> providing better accuracy for the TA control</w:t>
      </w:r>
      <w:r w:rsidR="00C80C4B">
        <w:rPr>
          <w:rFonts w:eastAsia="MS Mincho"/>
          <w:lang w:val="en-US" w:eastAsia="ja-JP"/>
        </w:rPr>
        <w:t>.</w:t>
      </w:r>
    </w:p>
    <w:p w14:paraId="007BD6FD" w14:textId="1268E4A3" w:rsidR="006B2BEB" w:rsidRPr="00C80C4B" w:rsidRDefault="006B2BEB" w:rsidP="00FF5F23">
      <w:pPr>
        <w:jc w:val="both"/>
        <w:rPr>
          <w:rFonts w:eastAsia="MS Mincho"/>
          <w:b/>
          <w:lang w:val="en-US" w:eastAsia="ja-JP"/>
        </w:rPr>
      </w:pPr>
      <w:r w:rsidRPr="00C80C4B">
        <w:rPr>
          <w:rFonts w:eastAsia="MS Mincho"/>
          <w:b/>
          <w:lang w:val="en-US" w:eastAsia="ja-JP"/>
        </w:rPr>
        <w:t>Observation 2: Improved timing accuracy can be achieved by using TRS signals</w:t>
      </w:r>
      <w:r w:rsidR="00C80C4B" w:rsidRPr="00C80C4B">
        <w:rPr>
          <w:rFonts w:eastAsia="MS Mincho"/>
          <w:b/>
          <w:lang w:val="en-US" w:eastAsia="ja-JP"/>
        </w:rPr>
        <w:t xml:space="preserve"> specified in Rel.15.</w:t>
      </w:r>
    </w:p>
    <w:p w14:paraId="0A77CBE2" w14:textId="77777777" w:rsidR="00E710CB" w:rsidRDefault="00E710CB" w:rsidP="00B51156">
      <w:pPr>
        <w:spacing w:after="120"/>
        <w:jc w:val="both"/>
        <w:rPr>
          <w:rFonts w:eastAsia="MS Mincho"/>
          <w:lang w:val="en-US" w:eastAsia="ja-JP"/>
        </w:rPr>
      </w:pPr>
    </w:p>
    <w:p w14:paraId="64D17D78" w14:textId="21A666E9" w:rsidR="00303962" w:rsidRDefault="00446C51" w:rsidP="00303962">
      <w:pPr>
        <w:pStyle w:val="Heading2"/>
        <w:rPr>
          <w:lang w:val="en-US"/>
        </w:rPr>
      </w:pPr>
      <w:r>
        <w:rPr>
          <w:lang w:val="en-US"/>
        </w:rPr>
        <w:t>2.4</w:t>
      </w:r>
      <w:r w:rsidR="00303962">
        <w:rPr>
          <w:lang w:val="en-US"/>
        </w:rPr>
        <w:tab/>
      </w:r>
      <w:r w:rsidR="004C6EB3">
        <w:rPr>
          <w:lang w:val="en-US"/>
        </w:rPr>
        <w:t>Timing requirements</w:t>
      </w:r>
    </w:p>
    <w:p w14:paraId="1B2A5083" w14:textId="788F265A" w:rsidR="00271994" w:rsidRDefault="00271994" w:rsidP="00303962">
      <w:pPr>
        <w:spacing w:after="360"/>
        <w:jc w:val="both"/>
        <w:rPr>
          <w:rFonts w:eastAsia="MS Mincho"/>
          <w:lang w:val="en-US" w:eastAsia="ja-JP"/>
        </w:rPr>
      </w:pPr>
      <w:r>
        <w:rPr>
          <w:rFonts w:eastAsia="MS Mincho"/>
          <w:lang w:val="en-US" w:eastAsia="ja-JP"/>
        </w:rPr>
        <w:t xml:space="preserve">As discussed above, the IAB implementation (gNB based) and deployment (stationary with typ. LOS connections) differ from the UE and therefore the achievable timing accuracy can be better than that of </w:t>
      </w:r>
      <w:r w:rsidR="00401A48">
        <w:rPr>
          <w:rFonts w:eastAsia="MS Mincho"/>
          <w:lang w:val="en-US" w:eastAsia="ja-JP"/>
        </w:rPr>
        <w:t xml:space="preserve">an </w:t>
      </w:r>
      <w:r>
        <w:rPr>
          <w:rFonts w:eastAsia="MS Mincho"/>
          <w:lang w:val="en-US" w:eastAsia="ja-JP"/>
        </w:rPr>
        <w:t>UE. The target will be also to minimize the impact to the access UEs as each IAB no</w:t>
      </w:r>
      <w:r w:rsidR="0028212B">
        <w:rPr>
          <w:rFonts w:eastAsia="MS Mincho"/>
          <w:lang w:val="en-US" w:eastAsia="ja-JP"/>
        </w:rPr>
        <w:t xml:space="preserve">de will serve its own cell. What would affect the access UEs is the change of the IAB DL TX timing. Otherwise, the impacts will be within/between the IAB nodes and can be controlled by </w:t>
      </w:r>
      <w:r w:rsidR="00401A48">
        <w:rPr>
          <w:rFonts w:eastAsia="MS Mincho"/>
          <w:lang w:val="en-US" w:eastAsia="ja-JP"/>
        </w:rPr>
        <w:t xml:space="preserve">the nodes </w:t>
      </w:r>
      <w:r w:rsidR="0028212B">
        <w:rPr>
          <w:rFonts w:eastAsia="MS Mincho"/>
          <w:lang w:val="en-US" w:eastAsia="ja-JP"/>
        </w:rPr>
        <w:t xml:space="preserve">themselves. With DL TX timing, what matters is the </w:t>
      </w:r>
      <w:r w:rsidR="00D97631">
        <w:rPr>
          <w:rFonts w:eastAsia="MS Mincho"/>
          <w:lang w:val="en-US" w:eastAsia="ja-JP"/>
        </w:rPr>
        <w:t xml:space="preserve">step size </w:t>
      </w:r>
      <w:r w:rsidR="0028212B">
        <w:rPr>
          <w:rFonts w:eastAsia="MS Mincho"/>
          <w:lang w:val="en-US" w:eastAsia="ja-JP"/>
        </w:rPr>
        <w:t xml:space="preserve">and how </w:t>
      </w:r>
      <w:r w:rsidR="00D97631">
        <w:rPr>
          <w:rFonts w:eastAsia="MS Mincho"/>
          <w:lang w:val="en-US" w:eastAsia="ja-JP"/>
        </w:rPr>
        <w:t xml:space="preserve">fast </w:t>
      </w:r>
      <w:r w:rsidR="0028212B">
        <w:rPr>
          <w:rFonts w:eastAsia="MS Mincho"/>
          <w:lang w:val="en-US" w:eastAsia="ja-JP"/>
        </w:rPr>
        <w:t xml:space="preserve">the timing </w:t>
      </w:r>
      <w:r w:rsidR="00D97631">
        <w:rPr>
          <w:rFonts w:eastAsia="MS Mincho"/>
          <w:lang w:val="en-US" w:eastAsia="ja-JP"/>
        </w:rPr>
        <w:t xml:space="preserve">can </w:t>
      </w:r>
      <w:r w:rsidR="0028212B">
        <w:rPr>
          <w:rFonts w:eastAsia="MS Mincho"/>
          <w:lang w:val="en-US" w:eastAsia="ja-JP"/>
        </w:rPr>
        <w:t xml:space="preserve">be changed. There could be IAB specific requirements </w:t>
      </w:r>
      <w:proofErr w:type="gramStart"/>
      <w:r w:rsidR="00D97631">
        <w:rPr>
          <w:rFonts w:eastAsia="MS Mincho"/>
          <w:lang w:val="en-US" w:eastAsia="ja-JP"/>
        </w:rPr>
        <w:t>taking into account</w:t>
      </w:r>
      <w:proofErr w:type="gramEnd"/>
      <w:r w:rsidR="00D97631">
        <w:rPr>
          <w:rFonts w:eastAsia="MS Mincho"/>
          <w:lang w:val="en-US" w:eastAsia="ja-JP"/>
        </w:rPr>
        <w:t xml:space="preserve"> </w:t>
      </w:r>
      <w:r w:rsidR="0028212B">
        <w:rPr>
          <w:rFonts w:eastAsia="MS Mincho"/>
          <w:lang w:val="en-US" w:eastAsia="ja-JP"/>
        </w:rPr>
        <w:t xml:space="preserve">the assumptions for the UE </w:t>
      </w:r>
      <w:r w:rsidR="00D97631">
        <w:rPr>
          <w:rFonts w:eastAsia="MS Mincho"/>
          <w:lang w:val="en-US" w:eastAsia="ja-JP"/>
        </w:rPr>
        <w:t xml:space="preserve">behavior in </w:t>
      </w:r>
      <w:r w:rsidR="0028212B">
        <w:rPr>
          <w:rFonts w:eastAsia="MS Mincho"/>
          <w:lang w:val="en-US" w:eastAsia="ja-JP"/>
        </w:rPr>
        <w:t xml:space="preserve">tracking </w:t>
      </w:r>
      <w:r w:rsidR="00D97631">
        <w:rPr>
          <w:rFonts w:eastAsia="MS Mincho"/>
          <w:lang w:val="en-US" w:eastAsia="ja-JP"/>
        </w:rPr>
        <w:t xml:space="preserve">the </w:t>
      </w:r>
      <w:r w:rsidR="0028212B">
        <w:rPr>
          <w:rFonts w:eastAsia="MS Mincho"/>
          <w:lang w:val="en-US" w:eastAsia="ja-JP"/>
        </w:rPr>
        <w:t xml:space="preserve">DL timing. </w:t>
      </w:r>
      <w:r w:rsidR="00446C51">
        <w:rPr>
          <w:rFonts w:eastAsia="MS Mincho"/>
          <w:lang w:val="en-US" w:eastAsia="ja-JP"/>
        </w:rPr>
        <w:t xml:space="preserve">The same requirements </w:t>
      </w:r>
      <w:r w:rsidR="00D97631">
        <w:rPr>
          <w:rFonts w:eastAsia="MS Mincho"/>
          <w:lang w:val="en-US" w:eastAsia="ja-JP"/>
        </w:rPr>
        <w:t xml:space="preserve">can </w:t>
      </w:r>
      <w:r w:rsidR="00446C51">
        <w:rPr>
          <w:rFonts w:eastAsia="MS Mincho"/>
          <w:lang w:val="en-US" w:eastAsia="ja-JP"/>
        </w:rPr>
        <w:t xml:space="preserve">apply also in case the timing </w:t>
      </w:r>
      <w:r w:rsidR="001A01DF">
        <w:rPr>
          <w:rFonts w:eastAsia="MS Mincho"/>
          <w:lang w:val="en-US" w:eastAsia="ja-JP"/>
        </w:rPr>
        <w:t xml:space="preserve">need to be adapted to the new parent after a </w:t>
      </w:r>
      <w:r w:rsidR="00446C51">
        <w:rPr>
          <w:rFonts w:eastAsia="MS Mincho"/>
          <w:lang w:val="en-US" w:eastAsia="ja-JP"/>
        </w:rPr>
        <w:t>BH link change</w:t>
      </w:r>
      <w:r w:rsidR="001A01DF">
        <w:rPr>
          <w:rFonts w:eastAsia="MS Mincho"/>
          <w:lang w:val="en-US" w:eastAsia="ja-JP"/>
        </w:rPr>
        <w:t>,</w:t>
      </w:r>
      <w:r w:rsidR="00446C51">
        <w:rPr>
          <w:rFonts w:eastAsia="MS Mincho"/>
          <w:lang w:val="en-US" w:eastAsia="ja-JP"/>
        </w:rPr>
        <w:t xml:space="preserve"> or when IAB </w:t>
      </w:r>
      <w:r w:rsidR="00D97631">
        <w:rPr>
          <w:rFonts w:eastAsia="MS Mincho"/>
          <w:lang w:val="en-US" w:eastAsia="ja-JP"/>
        </w:rPr>
        <w:t>has dual connection</w:t>
      </w:r>
      <w:r w:rsidR="00446C51">
        <w:rPr>
          <w:rFonts w:eastAsia="MS Mincho"/>
          <w:lang w:val="en-US" w:eastAsia="ja-JP"/>
        </w:rPr>
        <w:t xml:space="preserve"> to two parent nodes. </w:t>
      </w:r>
      <w:r w:rsidR="0028212B">
        <w:rPr>
          <w:rFonts w:eastAsia="MS Mincho"/>
          <w:lang w:val="en-US" w:eastAsia="ja-JP"/>
        </w:rPr>
        <w:t xml:space="preserve">This will </w:t>
      </w:r>
      <w:r w:rsidR="001A01DF">
        <w:rPr>
          <w:rFonts w:eastAsia="MS Mincho"/>
          <w:lang w:val="en-US" w:eastAsia="ja-JP"/>
        </w:rPr>
        <w:t xml:space="preserve">be a topic for </w:t>
      </w:r>
      <w:r w:rsidR="0028212B">
        <w:rPr>
          <w:rFonts w:eastAsia="MS Mincho"/>
          <w:lang w:val="en-US" w:eastAsia="ja-JP"/>
        </w:rPr>
        <w:t xml:space="preserve">RAN4 </w:t>
      </w:r>
      <w:r w:rsidR="001A01DF">
        <w:rPr>
          <w:rFonts w:eastAsia="MS Mincho"/>
          <w:lang w:val="en-US" w:eastAsia="ja-JP"/>
        </w:rPr>
        <w:t>to discuss and agree</w:t>
      </w:r>
      <w:r w:rsidR="00A53A1F">
        <w:rPr>
          <w:rFonts w:eastAsia="MS Mincho"/>
          <w:lang w:val="en-US" w:eastAsia="ja-JP"/>
        </w:rPr>
        <w:t>.</w:t>
      </w:r>
      <w:r w:rsidR="00446C51">
        <w:rPr>
          <w:rFonts w:eastAsia="MS Mincho"/>
          <w:lang w:val="en-US" w:eastAsia="ja-JP"/>
        </w:rPr>
        <w:t xml:space="preserve"> </w:t>
      </w:r>
    </w:p>
    <w:p w14:paraId="02A00481" w14:textId="2B02B021" w:rsidR="00A53A1F" w:rsidRPr="00A53A1F" w:rsidRDefault="00446C51" w:rsidP="00303962">
      <w:pPr>
        <w:spacing w:after="360"/>
        <w:jc w:val="both"/>
        <w:rPr>
          <w:rFonts w:eastAsia="MS Mincho"/>
          <w:b/>
          <w:lang w:val="en-US" w:eastAsia="ja-JP"/>
        </w:rPr>
      </w:pPr>
      <w:r>
        <w:rPr>
          <w:rFonts w:eastAsia="MS Mincho"/>
          <w:b/>
          <w:lang w:val="en-US" w:eastAsia="ja-JP"/>
        </w:rPr>
        <w:t xml:space="preserve">Proposal </w:t>
      </w:r>
      <w:r w:rsidR="001A01DF">
        <w:rPr>
          <w:rFonts w:eastAsia="MS Mincho"/>
          <w:b/>
          <w:lang w:val="en-US" w:eastAsia="ja-JP"/>
        </w:rPr>
        <w:t>2</w:t>
      </w:r>
      <w:r w:rsidR="00A53A1F" w:rsidRPr="00A53A1F">
        <w:rPr>
          <w:rFonts w:eastAsia="MS Mincho"/>
          <w:b/>
          <w:lang w:val="en-US" w:eastAsia="ja-JP"/>
        </w:rPr>
        <w:t xml:space="preserve">: The </w:t>
      </w:r>
      <w:r w:rsidR="009B2F05">
        <w:rPr>
          <w:rFonts w:eastAsia="MS Mincho"/>
          <w:b/>
          <w:lang w:val="en-US" w:eastAsia="ja-JP"/>
        </w:rPr>
        <w:t xml:space="preserve">step size </w:t>
      </w:r>
      <w:r w:rsidR="00A53A1F" w:rsidRPr="00A53A1F">
        <w:rPr>
          <w:rFonts w:eastAsia="MS Mincho"/>
          <w:b/>
          <w:lang w:val="en-US" w:eastAsia="ja-JP"/>
        </w:rPr>
        <w:t xml:space="preserve">and </w:t>
      </w:r>
      <w:r w:rsidR="00401A48">
        <w:rPr>
          <w:rFonts w:eastAsia="MS Mincho"/>
          <w:b/>
          <w:lang w:val="en-US" w:eastAsia="ja-JP"/>
        </w:rPr>
        <w:t xml:space="preserve">how fast </w:t>
      </w:r>
      <w:r w:rsidR="00A53A1F" w:rsidRPr="00A53A1F">
        <w:rPr>
          <w:rFonts w:eastAsia="MS Mincho"/>
          <w:b/>
          <w:lang w:val="en-US" w:eastAsia="ja-JP"/>
        </w:rPr>
        <w:t xml:space="preserve">the </w:t>
      </w:r>
      <w:r w:rsidR="00401A48">
        <w:rPr>
          <w:rFonts w:eastAsia="MS Mincho"/>
          <w:b/>
          <w:lang w:val="en-US" w:eastAsia="ja-JP"/>
        </w:rPr>
        <w:t xml:space="preserve">DL </w:t>
      </w:r>
      <w:r w:rsidR="009B2F05">
        <w:rPr>
          <w:rFonts w:eastAsia="MS Mincho"/>
          <w:b/>
          <w:lang w:val="en-US" w:eastAsia="ja-JP"/>
        </w:rPr>
        <w:t xml:space="preserve">TX </w:t>
      </w:r>
      <w:r w:rsidR="00A53A1F" w:rsidRPr="00A53A1F">
        <w:rPr>
          <w:rFonts w:eastAsia="MS Mincho"/>
          <w:b/>
          <w:lang w:val="en-US" w:eastAsia="ja-JP"/>
        </w:rPr>
        <w:t xml:space="preserve">timing </w:t>
      </w:r>
      <w:r w:rsidR="00401A48" w:rsidRPr="00A53A1F">
        <w:rPr>
          <w:rFonts w:eastAsia="MS Mincho"/>
          <w:b/>
          <w:lang w:val="en-US" w:eastAsia="ja-JP"/>
        </w:rPr>
        <w:t xml:space="preserve">of the IAB node </w:t>
      </w:r>
      <w:r w:rsidR="00401A48">
        <w:rPr>
          <w:rFonts w:eastAsia="MS Mincho"/>
          <w:b/>
          <w:lang w:val="en-US" w:eastAsia="ja-JP"/>
        </w:rPr>
        <w:t xml:space="preserve">can be </w:t>
      </w:r>
      <w:r w:rsidR="00A53A1F" w:rsidRPr="00A53A1F">
        <w:rPr>
          <w:rFonts w:eastAsia="MS Mincho"/>
          <w:b/>
          <w:lang w:val="en-US" w:eastAsia="ja-JP"/>
        </w:rPr>
        <w:t>change</w:t>
      </w:r>
      <w:r w:rsidR="00401A48">
        <w:rPr>
          <w:rFonts w:eastAsia="MS Mincho"/>
          <w:b/>
          <w:lang w:val="en-US" w:eastAsia="ja-JP"/>
        </w:rPr>
        <w:t>d</w:t>
      </w:r>
      <w:r w:rsidR="001A01DF">
        <w:rPr>
          <w:rFonts w:eastAsia="MS Mincho"/>
          <w:b/>
          <w:lang w:val="en-US" w:eastAsia="ja-JP"/>
        </w:rPr>
        <w:t xml:space="preserve">, </w:t>
      </w:r>
      <w:r w:rsidR="00D97631">
        <w:rPr>
          <w:rFonts w:eastAsia="MS Mincho"/>
          <w:b/>
          <w:lang w:val="en-US" w:eastAsia="ja-JP"/>
        </w:rPr>
        <w:t>applicable</w:t>
      </w:r>
      <w:r w:rsidR="001A01DF">
        <w:rPr>
          <w:rFonts w:eastAsia="MS Mincho"/>
          <w:b/>
          <w:lang w:val="en-US" w:eastAsia="ja-JP"/>
        </w:rPr>
        <w:t xml:space="preserve"> </w:t>
      </w:r>
      <w:r w:rsidR="00D97631">
        <w:rPr>
          <w:rFonts w:eastAsia="MS Mincho"/>
          <w:b/>
          <w:lang w:val="en-US" w:eastAsia="ja-JP"/>
        </w:rPr>
        <w:t>both in</w:t>
      </w:r>
      <w:r w:rsidR="001A01DF">
        <w:rPr>
          <w:rFonts w:eastAsia="MS Mincho"/>
          <w:b/>
          <w:lang w:val="en-US" w:eastAsia="ja-JP"/>
        </w:rPr>
        <w:t xml:space="preserve"> single/multi-connectivity and after BH link change,</w:t>
      </w:r>
      <w:r w:rsidR="00A53A1F" w:rsidRPr="00A53A1F">
        <w:rPr>
          <w:rFonts w:eastAsia="MS Mincho"/>
          <w:b/>
          <w:lang w:val="en-US" w:eastAsia="ja-JP"/>
        </w:rPr>
        <w:t xml:space="preserve"> </w:t>
      </w:r>
      <w:r w:rsidR="00D97631">
        <w:rPr>
          <w:rFonts w:eastAsia="MS Mincho"/>
          <w:b/>
          <w:lang w:val="en-US" w:eastAsia="ja-JP"/>
        </w:rPr>
        <w:t>is up to RAN4 to discuss</w:t>
      </w:r>
      <w:r w:rsidR="00401A48">
        <w:rPr>
          <w:rFonts w:eastAsia="MS Mincho"/>
          <w:b/>
          <w:lang w:val="en-US" w:eastAsia="ja-JP"/>
        </w:rPr>
        <w:t xml:space="preserve"> and </w:t>
      </w:r>
      <w:r w:rsidR="00D97631">
        <w:rPr>
          <w:rFonts w:eastAsia="MS Mincho"/>
          <w:b/>
          <w:lang w:val="en-US" w:eastAsia="ja-JP"/>
        </w:rPr>
        <w:t>agree</w:t>
      </w:r>
      <w:r w:rsidR="00A53A1F" w:rsidRPr="00A53A1F">
        <w:rPr>
          <w:rFonts w:eastAsia="MS Mincho"/>
          <w:b/>
          <w:lang w:val="en-US" w:eastAsia="ja-JP"/>
        </w:rPr>
        <w:t>.</w:t>
      </w:r>
    </w:p>
    <w:p w14:paraId="004D7F76" w14:textId="1DEBB0E4" w:rsidR="00303962" w:rsidRPr="00446C51" w:rsidRDefault="00392B30" w:rsidP="00446C51">
      <w:pPr>
        <w:spacing w:after="360"/>
        <w:jc w:val="both"/>
        <w:rPr>
          <w:rFonts w:eastAsia="MS Mincho"/>
          <w:lang w:val="en-US" w:eastAsia="ja-JP"/>
        </w:rPr>
      </w:pPr>
      <w:r w:rsidRPr="00446C51">
        <w:rPr>
          <w:rFonts w:eastAsia="MS Mincho"/>
          <w:lang w:val="en-US" w:eastAsia="ja-JP"/>
        </w:rPr>
        <w:t xml:space="preserve"> </w:t>
      </w: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25C61177" w14:textId="790059BD" w:rsidR="00FF72B0" w:rsidRDefault="007F0C94" w:rsidP="00303962">
      <w:pPr>
        <w:spacing w:afterLines="50" w:after="120"/>
        <w:jc w:val="both"/>
        <w:rPr>
          <w:lang w:val="en-US"/>
        </w:rPr>
      </w:pPr>
      <w:r>
        <w:rPr>
          <w:lang w:val="en-US"/>
        </w:rPr>
        <w:t xml:space="preserve">In this contribution </w:t>
      </w:r>
      <w:r w:rsidR="00262541">
        <w:rPr>
          <w:lang w:val="en-US"/>
        </w:rPr>
        <w:t>elaborated the achievable timing accuracy and whether IAB specific enhancements would be needed. Based on the analysis, we had following observations:</w:t>
      </w:r>
    </w:p>
    <w:p w14:paraId="59646BF4" w14:textId="77777777" w:rsidR="00262541" w:rsidRPr="00B72349" w:rsidRDefault="00262541" w:rsidP="00262541">
      <w:pPr>
        <w:rPr>
          <w:b/>
        </w:rPr>
      </w:pPr>
      <w:r w:rsidRPr="00B72349">
        <w:rPr>
          <w:b/>
        </w:rPr>
        <w:t>Observation 1: The practical number of supported BH hops seems sufficient in the anticipated IAB deployment scenarios.</w:t>
      </w:r>
    </w:p>
    <w:p w14:paraId="7CA822B1" w14:textId="77777777" w:rsidR="00262541" w:rsidRPr="00C80C4B" w:rsidRDefault="00262541" w:rsidP="00262541">
      <w:pPr>
        <w:rPr>
          <w:rFonts w:eastAsia="MS Mincho"/>
          <w:b/>
          <w:lang w:val="en-US" w:eastAsia="ja-JP"/>
        </w:rPr>
      </w:pPr>
      <w:r w:rsidRPr="00C80C4B">
        <w:rPr>
          <w:rFonts w:eastAsia="MS Mincho"/>
          <w:b/>
          <w:lang w:val="en-US" w:eastAsia="ja-JP"/>
        </w:rPr>
        <w:t>Observation 2: Improved timing accuracy can be achieved by using TRS signals specified in Rel.15.</w:t>
      </w:r>
    </w:p>
    <w:p w14:paraId="169F8E12" w14:textId="447AB675" w:rsidR="00262541" w:rsidRPr="00262541" w:rsidRDefault="00262541" w:rsidP="00262541">
      <w:r w:rsidRPr="00262541">
        <w:t>Regarding the IAB support in Rel.16, we are proposing following:</w:t>
      </w:r>
    </w:p>
    <w:p w14:paraId="36A77929" w14:textId="47126DCE" w:rsidR="00262541" w:rsidRDefault="00262541" w:rsidP="00262541">
      <w:pPr>
        <w:rPr>
          <w:b/>
          <w:lang w:val="en-US"/>
        </w:rPr>
      </w:pPr>
      <w:r>
        <w:rPr>
          <w:b/>
        </w:rPr>
        <w:t>Proposal 1</w:t>
      </w:r>
      <w:r w:rsidRPr="00416DA7">
        <w:rPr>
          <w:b/>
        </w:rPr>
        <w:t>:</w:t>
      </w:r>
      <w:r>
        <w:rPr>
          <w:b/>
        </w:rPr>
        <w:t xml:space="preserve"> For IAB synchronization, Rel.15 TA control signalling can be used for OTA </w:t>
      </w:r>
      <w:r w:rsidR="00CE0BC1">
        <w:rPr>
          <w:b/>
        </w:rPr>
        <w:t xml:space="preserve">based </w:t>
      </w:r>
      <w:r>
        <w:rPr>
          <w:b/>
        </w:rPr>
        <w:t>synchronization</w:t>
      </w:r>
      <w:r w:rsidRPr="006C69F6">
        <w:rPr>
          <w:b/>
          <w:lang w:val="en-US"/>
        </w:rPr>
        <w:t>.</w:t>
      </w:r>
    </w:p>
    <w:p w14:paraId="7DC93A07" w14:textId="77777777" w:rsidR="00D97631" w:rsidRPr="00A53A1F" w:rsidRDefault="00D97631" w:rsidP="00D97631">
      <w:pPr>
        <w:spacing w:after="360"/>
        <w:jc w:val="both"/>
        <w:rPr>
          <w:rFonts w:eastAsia="MS Mincho"/>
          <w:b/>
          <w:lang w:val="en-US" w:eastAsia="ja-JP"/>
        </w:rPr>
      </w:pPr>
      <w:r>
        <w:rPr>
          <w:rFonts w:eastAsia="MS Mincho"/>
          <w:b/>
          <w:lang w:val="en-US" w:eastAsia="ja-JP"/>
        </w:rPr>
        <w:t>Proposal 2</w:t>
      </w:r>
      <w:r w:rsidRPr="00A53A1F">
        <w:rPr>
          <w:rFonts w:eastAsia="MS Mincho"/>
          <w:b/>
          <w:lang w:val="en-US" w:eastAsia="ja-JP"/>
        </w:rPr>
        <w:t xml:space="preserve">: The </w:t>
      </w:r>
      <w:r>
        <w:rPr>
          <w:rFonts w:eastAsia="MS Mincho"/>
          <w:b/>
          <w:lang w:val="en-US" w:eastAsia="ja-JP"/>
        </w:rPr>
        <w:t xml:space="preserve">step size </w:t>
      </w:r>
      <w:r w:rsidRPr="00A53A1F">
        <w:rPr>
          <w:rFonts w:eastAsia="MS Mincho"/>
          <w:b/>
          <w:lang w:val="en-US" w:eastAsia="ja-JP"/>
        </w:rPr>
        <w:t xml:space="preserve">and </w:t>
      </w:r>
      <w:r>
        <w:rPr>
          <w:rFonts w:eastAsia="MS Mincho"/>
          <w:b/>
          <w:lang w:val="en-US" w:eastAsia="ja-JP"/>
        </w:rPr>
        <w:t xml:space="preserve">how fast </w:t>
      </w:r>
      <w:r w:rsidRPr="00A53A1F">
        <w:rPr>
          <w:rFonts w:eastAsia="MS Mincho"/>
          <w:b/>
          <w:lang w:val="en-US" w:eastAsia="ja-JP"/>
        </w:rPr>
        <w:t xml:space="preserve">the </w:t>
      </w:r>
      <w:r>
        <w:rPr>
          <w:rFonts w:eastAsia="MS Mincho"/>
          <w:b/>
          <w:lang w:val="en-US" w:eastAsia="ja-JP"/>
        </w:rPr>
        <w:t xml:space="preserve">DL TX </w:t>
      </w:r>
      <w:r w:rsidRPr="00A53A1F">
        <w:rPr>
          <w:rFonts w:eastAsia="MS Mincho"/>
          <w:b/>
          <w:lang w:val="en-US" w:eastAsia="ja-JP"/>
        </w:rPr>
        <w:t xml:space="preserve">timing of the IAB node </w:t>
      </w:r>
      <w:r>
        <w:rPr>
          <w:rFonts w:eastAsia="MS Mincho"/>
          <w:b/>
          <w:lang w:val="en-US" w:eastAsia="ja-JP"/>
        </w:rPr>
        <w:t xml:space="preserve">can be </w:t>
      </w:r>
      <w:r w:rsidRPr="00A53A1F">
        <w:rPr>
          <w:rFonts w:eastAsia="MS Mincho"/>
          <w:b/>
          <w:lang w:val="en-US" w:eastAsia="ja-JP"/>
        </w:rPr>
        <w:t>change</w:t>
      </w:r>
      <w:r>
        <w:rPr>
          <w:rFonts w:eastAsia="MS Mincho"/>
          <w:b/>
          <w:lang w:val="en-US" w:eastAsia="ja-JP"/>
        </w:rPr>
        <w:t>d, applicable both in single/multi-connectivity and after BH link change,</w:t>
      </w:r>
      <w:r w:rsidRPr="00A53A1F">
        <w:rPr>
          <w:rFonts w:eastAsia="MS Mincho"/>
          <w:b/>
          <w:lang w:val="en-US" w:eastAsia="ja-JP"/>
        </w:rPr>
        <w:t xml:space="preserve"> </w:t>
      </w:r>
      <w:r>
        <w:rPr>
          <w:rFonts w:eastAsia="MS Mincho"/>
          <w:b/>
          <w:lang w:val="en-US" w:eastAsia="ja-JP"/>
        </w:rPr>
        <w:t>is up to RAN4 to discuss and agree</w:t>
      </w:r>
      <w:r w:rsidRPr="00A53A1F">
        <w:rPr>
          <w:rFonts w:eastAsia="MS Mincho"/>
          <w:b/>
          <w:lang w:val="en-US" w:eastAsia="ja-JP"/>
        </w:rPr>
        <w:t>.</w:t>
      </w:r>
    </w:p>
    <w:p w14:paraId="0F654594" w14:textId="77777777" w:rsidR="007F0C94" w:rsidRPr="003E68CC" w:rsidRDefault="007F0C94" w:rsidP="00A2190A">
      <w:pPr>
        <w:spacing w:after="120"/>
        <w:jc w:val="both"/>
        <w:rPr>
          <w:bCs/>
          <w:lang w:val="en-U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4" w:name="_Ref533075287"/>
    <w:p w14:paraId="7A3709DB" w14:textId="5157EC43" w:rsidR="00916B0F" w:rsidRPr="00916B0F" w:rsidRDefault="00916B0F" w:rsidP="00916B0F">
      <w:pPr>
        <w:numPr>
          <w:ilvl w:val="0"/>
          <w:numId w:val="1"/>
        </w:numPr>
        <w:rPr>
          <w:sz w:val="18"/>
        </w:rPr>
      </w:pPr>
      <w:r>
        <w:rPr>
          <w:sz w:val="18"/>
        </w:rPr>
        <w:fldChar w:fldCharType="begin"/>
      </w:r>
      <w:r>
        <w:rPr>
          <w:sz w:val="18"/>
        </w:rPr>
        <w:instrText xml:space="preserve"> HYPERLINK "https://portal.3gpp.org/desktopmodules/Specifications/SpecificationDetails.aspx?specificationId=3232" </w:instrText>
      </w:r>
      <w:r>
        <w:rPr>
          <w:sz w:val="18"/>
        </w:rPr>
        <w:fldChar w:fldCharType="separate"/>
      </w:r>
      <w:r w:rsidRPr="00916B0F">
        <w:rPr>
          <w:rStyle w:val="Hyperlink"/>
          <w:sz w:val="18"/>
        </w:rPr>
        <w:t>TR 38.874</w:t>
      </w:r>
      <w:r>
        <w:rPr>
          <w:sz w:val="18"/>
        </w:rPr>
        <w:fldChar w:fldCharType="end"/>
      </w:r>
      <w:r>
        <w:rPr>
          <w:sz w:val="18"/>
        </w:rPr>
        <w:t xml:space="preserve">, </w:t>
      </w:r>
      <w:r w:rsidRPr="00916B0F">
        <w:rPr>
          <w:i/>
          <w:sz w:val="18"/>
        </w:rPr>
        <w:t>Study on Integrated Access and Backhaul</w:t>
      </w:r>
      <w:bookmarkEnd w:id="4"/>
    </w:p>
    <w:bookmarkStart w:id="5" w:name="_Ref533075225"/>
    <w:bookmarkStart w:id="6" w:name="_Ref525649429"/>
    <w:p w14:paraId="365535CB" w14:textId="0934DDFF" w:rsidR="00916B0F" w:rsidRPr="00916B0F" w:rsidRDefault="00916B0F" w:rsidP="00916B0F">
      <w:pPr>
        <w:numPr>
          <w:ilvl w:val="0"/>
          <w:numId w:val="1"/>
        </w:numPr>
        <w:rPr>
          <w:sz w:val="18"/>
        </w:rPr>
      </w:pPr>
      <w:r>
        <w:rPr>
          <w:sz w:val="18"/>
        </w:rPr>
        <w:fldChar w:fldCharType="begin"/>
      </w:r>
      <w:r>
        <w:rPr>
          <w:sz w:val="18"/>
        </w:rPr>
        <w:instrText xml:space="preserve"> HYPERLINK "http://www.3gpp.org/ftp/tsg_ran/TSG_RAN/TSGR_82/Docs/RP-182882.zip" </w:instrText>
      </w:r>
      <w:r>
        <w:rPr>
          <w:sz w:val="18"/>
        </w:rPr>
        <w:fldChar w:fldCharType="separate"/>
      </w:r>
      <w:r w:rsidRPr="00916B0F">
        <w:rPr>
          <w:rStyle w:val="Hyperlink"/>
          <w:sz w:val="18"/>
        </w:rPr>
        <w:t>RP-182882</w:t>
      </w:r>
      <w:r>
        <w:rPr>
          <w:sz w:val="18"/>
        </w:rPr>
        <w:fldChar w:fldCharType="end"/>
      </w:r>
      <w:r>
        <w:rPr>
          <w:sz w:val="18"/>
        </w:rPr>
        <w:t xml:space="preserve">, </w:t>
      </w:r>
      <w:r w:rsidRPr="00916B0F">
        <w:rPr>
          <w:i/>
          <w:sz w:val="18"/>
        </w:rPr>
        <w:t>New WID: Integrated Access and Backhaul for NR</w:t>
      </w:r>
      <w:bookmarkEnd w:id="5"/>
    </w:p>
    <w:bookmarkStart w:id="7" w:name="_Ref533076542"/>
    <w:bookmarkStart w:id="8" w:name="_Ref528137239"/>
    <w:bookmarkStart w:id="9" w:name="_Ref525649815"/>
    <w:bookmarkEnd w:id="6"/>
    <w:p w14:paraId="412E0E50" w14:textId="3989DF34" w:rsidR="007E4054" w:rsidRPr="007E4054" w:rsidRDefault="007E4054"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"https://portal.3gpp.org/desktopmodules/Specifications/SpecificationDetails.aspx?specificationId=3213" </w:instrText>
      </w:r>
      <w:r>
        <w:rPr>
          <w:sz w:val="18"/>
          <w:lang w:val="en-US"/>
        </w:rPr>
        <w:fldChar w:fldCharType="separate"/>
      </w:r>
      <w:r w:rsidRPr="007E4054">
        <w:rPr>
          <w:rStyle w:val="Hyperlink"/>
          <w:sz w:val="18"/>
          <w:lang w:val="en-US"/>
        </w:rPr>
        <w:t>TS 38.211</w:t>
      </w:r>
      <w:r>
        <w:rPr>
          <w:sz w:val="18"/>
          <w:lang w:val="en-US"/>
        </w:rPr>
        <w:fldChar w:fldCharType="end"/>
      </w:r>
      <w:r>
        <w:rPr>
          <w:sz w:val="18"/>
          <w:lang w:val="en-US"/>
        </w:rPr>
        <w:t xml:space="preserve">, </w:t>
      </w:r>
      <w:r w:rsidRPr="007E4054">
        <w:rPr>
          <w:i/>
          <w:sz w:val="18"/>
          <w:lang w:val="en-US"/>
        </w:rPr>
        <w:t>Physical channels and modulation</w:t>
      </w:r>
      <w:bookmarkEnd w:id="7"/>
    </w:p>
    <w:bookmarkStart w:id="10" w:name="_Ref533076557"/>
    <w:p w14:paraId="2F2B3B57" w14:textId="1B0D7D80" w:rsidR="007E4054" w:rsidRDefault="007E4054" w:rsidP="007E4054">
      <w:pPr>
        <w:numPr>
          <w:ilvl w:val="0"/>
          <w:numId w:val="1"/>
        </w:numPr>
        <w:overflowPunct/>
        <w:autoSpaceDE/>
        <w:autoSpaceDN/>
        <w:adjustRightInd/>
        <w:spacing w:after="160" w:line="256" w:lineRule="auto"/>
        <w:textAlignment w:val="auto"/>
        <w:rPr>
          <w:sz w:val="18"/>
          <w:lang w:val="en-US"/>
        </w:rPr>
      </w:pPr>
      <w:r>
        <w:rPr>
          <w:sz w:val="18"/>
        </w:rPr>
        <w:fldChar w:fldCharType="begin"/>
      </w:r>
      <w:r>
        <w:rPr>
          <w:sz w:val="18"/>
        </w:rPr>
        <w:instrText xml:space="preserve"> HYPERLINK "https://portal.3gpp.org/desktopmodules/Specifications/SpecificationDetails.aspx?specificationId=3215" </w:instrText>
      </w:r>
      <w:r>
        <w:rPr>
          <w:sz w:val="18"/>
        </w:rPr>
        <w:fldChar w:fldCharType="separate"/>
      </w:r>
      <w:r w:rsidRPr="007E4054">
        <w:rPr>
          <w:rStyle w:val="Hyperlink"/>
          <w:sz w:val="18"/>
        </w:rPr>
        <w:t>TS 38.213</w:t>
      </w:r>
      <w:r>
        <w:rPr>
          <w:sz w:val="18"/>
        </w:rPr>
        <w:fldChar w:fldCharType="end"/>
      </w:r>
      <w:r>
        <w:rPr>
          <w:sz w:val="18"/>
        </w:rPr>
        <w:t xml:space="preserve">, </w:t>
      </w:r>
      <w:r>
        <w:rPr>
          <w:i/>
          <w:sz w:val="18"/>
        </w:rPr>
        <w:t>Physical layer procedures for control</w:t>
      </w:r>
      <w:bookmarkEnd w:id="8"/>
      <w:bookmarkEnd w:id="10"/>
    </w:p>
    <w:bookmarkEnd w:id="9"/>
    <w:p w14:paraId="1C2A30A3" w14:textId="6CC2F8F5" w:rsidR="007E4054" w:rsidRDefault="007E4054" w:rsidP="007E4054">
      <w:pPr>
        <w:numPr>
          <w:ilvl w:val="0"/>
          <w:numId w:val="1"/>
        </w:numPr>
        <w:overflowPunct/>
        <w:autoSpaceDE/>
        <w:autoSpaceDN/>
        <w:adjustRightInd/>
        <w:spacing w:after="160" w:line="256" w:lineRule="auto"/>
        <w:textAlignment w:val="auto"/>
        <w:rPr>
          <w:sz w:val="18"/>
          <w:lang w:val="en-US"/>
        </w:rPr>
      </w:pPr>
      <w:r>
        <w:rPr>
          <w:sz w:val="18"/>
        </w:rPr>
        <w:fldChar w:fldCharType="begin"/>
      </w:r>
      <w:r>
        <w:rPr>
          <w:sz w:val="18"/>
        </w:rPr>
        <w:instrText xml:space="preserve"> HYPERLINK "https://portal.3gpp.org/desktopmodules/Specifications/SpecificationDetails.aspx?specificationId=3194" </w:instrText>
      </w:r>
      <w:r>
        <w:rPr>
          <w:sz w:val="18"/>
        </w:rPr>
        <w:fldChar w:fldCharType="separate"/>
      </w:r>
      <w:r w:rsidRPr="007E4054">
        <w:rPr>
          <w:rStyle w:val="Hyperlink"/>
          <w:sz w:val="18"/>
        </w:rPr>
        <w:t>TS 38.321</w:t>
      </w:r>
      <w:r>
        <w:rPr>
          <w:sz w:val="18"/>
        </w:rPr>
        <w:fldChar w:fldCharType="end"/>
      </w:r>
      <w:r>
        <w:rPr>
          <w:sz w:val="18"/>
        </w:rPr>
        <w:t xml:space="preserve">, </w:t>
      </w:r>
      <w:r>
        <w:rPr>
          <w:i/>
          <w:sz w:val="18"/>
        </w:rPr>
        <w:t>Medium Access Control (MAC) protocol specification</w:t>
      </w:r>
    </w:p>
    <w:bookmarkStart w:id="11" w:name="_Ref534197958"/>
    <w:p w14:paraId="2F6137EF" w14:textId="44251071" w:rsidR="00916B0F" w:rsidRDefault="00D23BC4" w:rsidP="001878D8">
      <w:pPr>
        <w:numPr>
          <w:ilvl w:val="0"/>
          <w:numId w:val="1"/>
        </w:numPr>
        <w:rPr>
          <w:sz w:val="18"/>
        </w:rPr>
      </w:pPr>
      <w:r>
        <w:rPr>
          <w:sz w:val="18"/>
        </w:rPr>
        <w:fldChar w:fldCharType="begin"/>
      </w:r>
      <w:r>
        <w:rPr>
          <w:sz w:val="18"/>
        </w:rPr>
        <w:instrText xml:space="preserve"> HYPERLINK "http://www.3gpp.org/ftp/tsg_ran/WG1_RL1/TSGR1_94/Docs/R1-1808087.zip" </w:instrText>
      </w:r>
      <w:r>
        <w:rPr>
          <w:sz w:val="18"/>
        </w:rPr>
        <w:fldChar w:fldCharType="separate"/>
      </w:r>
      <w:r w:rsidR="00947781" w:rsidRPr="00D23BC4">
        <w:rPr>
          <w:rStyle w:val="Hyperlink"/>
          <w:sz w:val="18"/>
        </w:rPr>
        <w:t>R1-18080</w:t>
      </w:r>
      <w:r w:rsidR="001878D8" w:rsidRPr="00D23BC4">
        <w:rPr>
          <w:rStyle w:val="Hyperlink"/>
          <w:sz w:val="18"/>
        </w:rPr>
        <w:t>87</w:t>
      </w:r>
      <w:r>
        <w:rPr>
          <w:sz w:val="18"/>
        </w:rPr>
        <w:fldChar w:fldCharType="end"/>
      </w:r>
      <w:r w:rsidR="000624AA" w:rsidRPr="001878D8">
        <w:rPr>
          <w:sz w:val="18"/>
        </w:rPr>
        <w:t xml:space="preserve">, </w:t>
      </w:r>
      <w:r w:rsidR="001878D8" w:rsidRPr="001878D8">
        <w:rPr>
          <w:i/>
          <w:sz w:val="18"/>
        </w:rPr>
        <w:t>On IAB node synchronization and timing alignment</w:t>
      </w:r>
      <w:r w:rsidR="001878D8">
        <w:rPr>
          <w:sz w:val="18"/>
        </w:rPr>
        <w:t xml:space="preserve">, Huawei, </w:t>
      </w:r>
      <w:proofErr w:type="spellStart"/>
      <w:r w:rsidR="001878D8">
        <w:rPr>
          <w:sz w:val="18"/>
        </w:rPr>
        <w:t>HiSilicon</w:t>
      </w:r>
      <w:bookmarkEnd w:id="11"/>
      <w:proofErr w:type="spellEnd"/>
    </w:p>
    <w:sectPr w:rsidR="00916B0F" w:rsidSect="000131D1">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3F3AE" w14:textId="77777777" w:rsidR="00122FFA" w:rsidRDefault="00122FFA">
      <w:r>
        <w:separator/>
      </w:r>
    </w:p>
  </w:endnote>
  <w:endnote w:type="continuationSeparator" w:id="0">
    <w:p w14:paraId="4F6694BD" w14:textId="77777777" w:rsidR="00122FFA" w:rsidRDefault="00122FFA">
      <w:r>
        <w:continuationSeparator/>
      </w:r>
    </w:p>
  </w:endnote>
  <w:endnote w:type="continuationNotice" w:id="1">
    <w:p w14:paraId="127CC66B" w14:textId="77777777" w:rsidR="00122FFA" w:rsidRDefault="00122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8C7A67" w:rsidRDefault="008C7A6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8C7A67" w:rsidRPr="00B75603" w:rsidRDefault="008C7A6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8C7A67" w:rsidRPr="00B75603" w:rsidRDefault="008C7A6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B3D3" w14:textId="77777777" w:rsidR="00122FFA" w:rsidRDefault="00122FFA">
      <w:r>
        <w:separator/>
      </w:r>
    </w:p>
  </w:footnote>
  <w:footnote w:type="continuationSeparator" w:id="0">
    <w:p w14:paraId="4F3DADFB" w14:textId="77777777" w:rsidR="00122FFA" w:rsidRDefault="00122FFA">
      <w:r>
        <w:continuationSeparator/>
      </w:r>
    </w:p>
  </w:footnote>
  <w:footnote w:type="continuationNotice" w:id="1">
    <w:p w14:paraId="504C2428" w14:textId="77777777" w:rsidR="00122FFA" w:rsidRDefault="00122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2"/>
  </w:num>
  <w:num w:numId="4">
    <w:abstractNumId w:val="3"/>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9"/>
  </w:num>
  <w:num w:numId="10">
    <w:abstractNumId w:val="8"/>
  </w:num>
  <w:num w:numId="11">
    <w:abstractNumId w:val="2"/>
  </w:num>
  <w:num w:numId="12">
    <w:abstractNumId w:val="4"/>
  </w:num>
  <w:num w:numId="13">
    <w:abstractNumId w:val="11"/>
  </w:num>
  <w:num w:numId="1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AD4"/>
    <w:rsid w:val="000074C4"/>
    <w:rsid w:val="000079A6"/>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C8A"/>
    <w:rsid w:val="00054D9D"/>
    <w:rsid w:val="00055676"/>
    <w:rsid w:val="00056544"/>
    <w:rsid w:val="0005752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5AC9"/>
    <w:rsid w:val="000B5F0A"/>
    <w:rsid w:val="000B6FD2"/>
    <w:rsid w:val="000B7043"/>
    <w:rsid w:val="000C1D59"/>
    <w:rsid w:val="000C347C"/>
    <w:rsid w:val="000C4AEB"/>
    <w:rsid w:val="000C501D"/>
    <w:rsid w:val="000C5B1F"/>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0F75A4"/>
    <w:rsid w:val="00101C4F"/>
    <w:rsid w:val="00102C9F"/>
    <w:rsid w:val="00102D07"/>
    <w:rsid w:val="001036C8"/>
    <w:rsid w:val="001068D2"/>
    <w:rsid w:val="001103BD"/>
    <w:rsid w:val="00111208"/>
    <w:rsid w:val="00111808"/>
    <w:rsid w:val="0011339F"/>
    <w:rsid w:val="00114E96"/>
    <w:rsid w:val="00115828"/>
    <w:rsid w:val="0011644A"/>
    <w:rsid w:val="00117332"/>
    <w:rsid w:val="001204DD"/>
    <w:rsid w:val="00121D83"/>
    <w:rsid w:val="00122839"/>
    <w:rsid w:val="00122FFA"/>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7390"/>
    <w:rsid w:val="00160998"/>
    <w:rsid w:val="00160CD6"/>
    <w:rsid w:val="0016316A"/>
    <w:rsid w:val="00164171"/>
    <w:rsid w:val="00164DC9"/>
    <w:rsid w:val="00164E58"/>
    <w:rsid w:val="00165033"/>
    <w:rsid w:val="00165B18"/>
    <w:rsid w:val="001670EA"/>
    <w:rsid w:val="0016735F"/>
    <w:rsid w:val="001674A0"/>
    <w:rsid w:val="001675D8"/>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327"/>
    <w:rsid w:val="001818A7"/>
    <w:rsid w:val="00182725"/>
    <w:rsid w:val="001829C8"/>
    <w:rsid w:val="00182CA0"/>
    <w:rsid w:val="00182E04"/>
    <w:rsid w:val="00183FB0"/>
    <w:rsid w:val="00184098"/>
    <w:rsid w:val="00184687"/>
    <w:rsid w:val="001849E2"/>
    <w:rsid w:val="00185D8A"/>
    <w:rsid w:val="00186904"/>
    <w:rsid w:val="00186B0A"/>
    <w:rsid w:val="001878D8"/>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919"/>
    <w:rsid w:val="001A01DF"/>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1791"/>
    <w:rsid w:val="001E287E"/>
    <w:rsid w:val="001E30A0"/>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5398"/>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589"/>
    <w:rsid w:val="00271994"/>
    <w:rsid w:val="002720E1"/>
    <w:rsid w:val="00273177"/>
    <w:rsid w:val="00275074"/>
    <w:rsid w:val="002763E9"/>
    <w:rsid w:val="00276736"/>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1F0"/>
    <w:rsid w:val="002A352A"/>
    <w:rsid w:val="002A41A1"/>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6CED"/>
    <w:rsid w:val="002F72DA"/>
    <w:rsid w:val="002F76B1"/>
    <w:rsid w:val="002F7CC8"/>
    <w:rsid w:val="002F7D66"/>
    <w:rsid w:val="002F7DBE"/>
    <w:rsid w:val="0030090B"/>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BE8"/>
    <w:rsid w:val="00356C0B"/>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51C9"/>
    <w:rsid w:val="003757B7"/>
    <w:rsid w:val="00375D09"/>
    <w:rsid w:val="0037739D"/>
    <w:rsid w:val="0037751C"/>
    <w:rsid w:val="00380F3F"/>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D4D"/>
    <w:rsid w:val="003C0DA2"/>
    <w:rsid w:val="003C0DBA"/>
    <w:rsid w:val="003C1A18"/>
    <w:rsid w:val="003C3261"/>
    <w:rsid w:val="003C5A08"/>
    <w:rsid w:val="003C5C41"/>
    <w:rsid w:val="003C6F06"/>
    <w:rsid w:val="003C7461"/>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521F"/>
    <w:rsid w:val="003E64A9"/>
    <w:rsid w:val="003E68CC"/>
    <w:rsid w:val="003E7002"/>
    <w:rsid w:val="003E7905"/>
    <w:rsid w:val="003F0336"/>
    <w:rsid w:val="003F1200"/>
    <w:rsid w:val="003F2147"/>
    <w:rsid w:val="003F3A96"/>
    <w:rsid w:val="003F4488"/>
    <w:rsid w:val="003F53EE"/>
    <w:rsid w:val="003F5547"/>
    <w:rsid w:val="003F5C40"/>
    <w:rsid w:val="003F6E12"/>
    <w:rsid w:val="003F75ED"/>
    <w:rsid w:val="004002B7"/>
    <w:rsid w:val="00400F31"/>
    <w:rsid w:val="004012AE"/>
    <w:rsid w:val="0040130A"/>
    <w:rsid w:val="00401A48"/>
    <w:rsid w:val="00402295"/>
    <w:rsid w:val="004049F1"/>
    <w:rsid w:val="00406B4D"/>
    <w:rsid w:val="00407F6A"/>
    <w:rsid w:val="0041443C"/>
    <w:rsid w:val="004154F7"/>
    <w:rsid w:val="00416D44"/>
    <w:rsid w:val="00416DA7"/>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993"/>
    <w:rsid w:val="00440FED"/>
    <w:rsid w:val="00441194"/>
    <w:rsid w:val="00441B0A"/>
    <w:rsid w:val="00441B92"/>
    <w:rsid w:val="00442607"/>
    <w:rsid w:val="0044474B"/>
    <w:rsid w:val="00445FF7"/>
    <w:rsid w:val="00446C51"/>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6DAE"/>
    <w:rsid w:val="00486FF4"/>
    <w:rsid w:val="004874E4"/>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E52"/>
    <w:rsid w:val="004B618D"/>
    <w:rsid w:val="004B689B"/>
    <w:rsid w:val="004B7455"/>
    <w:rsid w:val="004B74FF"/>
    <w:rsid w:val="004B787C"/>
    <w:rsid w:val="004B7CE4"/>
    <w:rsid w:val="004C0066"/>
    <w:rsid w:val="004C0401"/>
    <w:rsid w:val="004C0981"/>
    <w:rsid w:val="004C0C49"/>
    <w:rsid w:val="004C183D"/>
    <w:rsid w:val="004C2669"/>
    <w:rsid w:val="004C396E"/>
    <w:rsid w:val="004C3AE2"/>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EE8"/>
    <w:rsid w:val="00535F84"/>
    <w:rsid w:val="0053662A"/>
    <w:rsid w:val="005375FE"/>
    <w:rsid w:val="00540541"/>
    <w:rsid w:val="00540B5A"/>
    <w:rsid w:val="00541726"/>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309"/>
    <w:rsid w:val="00554E4B"/>
    <w:rsid w:val="0055531C"/>
    <w:rsid w:val="00555F67"/>
    <w:rsid w:val="00556605"/>
    <w:rsid w:val="00556C6D"/>
    <w:rsid w:val="00556CC5"/>
    <w:rsid w:val="0055797D"/>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5C4E"/>
    <w:rsid w:val="005660F0"/>
    <w:rsid w:val="00567415"/>
    <w:rsid w:val="00567610"/>
    <w:rsid w:val="00570D9F"/>
    <w:rsid w:val="00571CA8"/>
    <w:rsid w:val="005734C0"/>
    <w:rsid w:val="00573E71"/>
    <w:rsid w:val="00574BA6"/>
    <w:rsid w:val="005769DF"/>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CEB"/>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0F80"/>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2913"/>
    <w:rsid w:val="006433BD"/>
    <w:rsid w:val="00643784"/>
    <w:rsid w:val="00644186"/>
    <w:rsid w:val="00644A21"/>
    <w:rsid w:val="006451D0"/>
    <w:rsid w:val="006452EE"/>
    <w:rsid w:val="00645C9F"/>
    <w:rsid w:val="00646305"/>
    <w:rsid w:val="006463D6"/>
    <w:rsid w:val="00646A6C"/>
    <w:rsid w:val="00646F20"/>
    <w:rsid w:val="006475E6"/>
    <w:rsid w:val="006508B9"/>
    <w:rsid w:val="00650CA1"/>
    <w:rsid w:val="0065150E"/>
    <w:rsid w:val="00651854"/>
    <w:rsid w:val="006539E8"/>
    <w:rsid w:val="006561A2"/>
    <w:rsid w:val="006563F3"/>
    <w:rsid w:val="006565D8"/>
    <w:rsid w:val="00656B96"/>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E6A"/>
    <w:rsid w:val="00675266"/>
    <w:rsid w:val="00675586"/>
    <w:rsid w:val="0067661A"/>
    <w:rsid w:val="00676A64"/>
    <w:rsid w:val="0067759B"/>
    <w:rsid w:val="00677925"/>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65A1"/>
    <w:rsid w:val="006C69F6"/>
    <w:rsid w:val="006C7B01"/>
    <w:rsid w:val="006C7CC9"/>
    <w:rsid w:val="006C7CFC"/>
    <w:rsid w:val="006D0E6B"/>
    <w:rsid w:val="006D1073"/>
    <w:rsid w:val="006D2146"/>
    <w:rsid w:val="006D2D0B"/>
    <w:rsid w:val="006D41C3"/>
    <w:rsid w:val="006D632E"/>
    <w:rsid w:val="006D6444"/>
    <w:rsid w:val="006D668E"/>
    <w:rsid w:val="006E094A"/>
    <w:rsid w:val="006E12B1"/>
    <w:rsid w:val="006E13D1"/>
    <w:rsid w:val="006E1A08"/>
    <w:rsid w:val="006E26D3"/>
    <w:rsid w:val="006E283E"/>
    <w:rsid w:val="006E2A4B"/>
    <w:rsid w:val="006E4D0C"/>
    <w:rsid w:val="006E4D1B"/>
    <w:rsid w:val="006E5B78"/>
    <w:rsid w:val="006E6BA3"/>
    <w:rsid w:val="006E6F9C"/>
    <w:rsid w:val="006F01EB"/>
    <w:rsid w:val="006F1116"/>
    <w:rsid w:val="006F3196"/>
    <w:rsid w:val="006F3C54"/>
    <w:rsid w:val="006F5E64"/>
    <w:rsid w:val="006F60DE"/>
    <w:rsid w:val="006F77FE"/>
    <w:rsid w:val="006F7914"/>
    <w:rsid w:val="006F7E46"/>
    <w:rsid w:val="00700AB4"/>
    <w:rsid w:val="00700FCA"/>
    <w:rsid w:val="007012A7"/>
    <w:rsid w:val="00701645"/>
    <w:rsid w:val="007022F2"/>
    <w:rsid w:val="00702C80"/>
    <w:rsid w:val="00702D5A"/>
    <w:rsid w:val="00702EF7"/>
    <w:rsid w:val="00703989"/>
    <w:rsid w:val="007042E9"/>
    <w:rsid w:val="0070687A"/>
    <w:rsid w:val="00707399"/>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0A68"/>
    <w:rsid w:val="0073124A"/>
    <w:rsid w:val="00731B79"/>
    <w:rsid w:val="00731EFA"/>
    <w:rsid w:val="007331CE"/>
    <w:rsid w:val="00733893"/>
    <w:rsid w:val="00734A05"/>
    <w:rsid w:val="00735C6F"/>
    <w:rsid w:val="007408D5"/>
    <w:rsid w:val="007424EF"/>
    <w:rsid w:val="00742B44"/>
    <w:rsid w:val="007440FE"/>
    <w:rsid w:val="0074655A"/>
    <w:rsid w:val="007469B7"/>
    <w:rsid w:val="00746C78"/>
    <w:rsid w:val="00751B94"/>
    <w:rsid w:val="0075251F"/>
    <w:rsid w:val="00753BB5"/>
    <w:rsid w:val="00756832"/>
    <w:rsid w:val="007568FC"/>
    <w:rsid w:val="007626D0"/>
    <w:rsid w:val="00764048"/>
    <w:rsid w:val="007651CA"/>
    <w:rsid w:val="00767269"/>
    <w:rsid w:val="00767519"/>
    <w:rsid w:val="00767EE3"/>
    <w:rsid w:val="007704E1"/>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ED1"/>
    <w:rsid w:val="00787051"/>
    <w:rsid w:val="0079018D"/>
    <w:rsid w:val="00791A00"/>
    <w:rsid w:val="00791DBA"/>
    <w:rsid w:val="00791DC7"/>
    <w:rsid w:val="00792CEE"/>
    <w:rsid w:val="00794E92"/>
    <w:rsid w:val="00795519"/>
    <w:rsid w:val="0079656A"/>
    <w:rsid w:val="00796D86"/>
    <w:rsid w:val="00796F15"/>
    <w:rsid w:val="007A138F"/>
    <w:rsid w:val="007A1640"/>
    <w:rsid w:val="007A36F5"/>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5AC2"/>
    <w:rsid w:val="007E69FB"/>
    <w:rsid w:val="007E79C5"/>
    <w:rsid w:val="007F0036"/>
    <w:rsid w:val="007F0C94"/>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4627"/>
    <w:rsid w:val="009250A8"/>
    <w:rsid w:val="009255BA"/>
    <w:rsid w:val="00925BE6"/>
    <w:rsid w:val="0092658D"/>
    <w:rsid w:val="00926F61"/>
    <w:rsid w:val="00927ED5"/>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47781"/>
    <w:rsid w:val="009502A9"/>
    <w:rsid w:val="0095285B"/>
    <w:rsid w:val="00953FE9"/>
    <w:rsid w:val="0095436C"/>
    <w:rsid w:val="0095481C"/>
    <w:rsid w:val="009567E6"/>
    <w:rsid w:val="00957076"/>
    <w:rsid w:val="00957132"/>
    <w:rsid w:val="009576FD"/>
    <w:rsid w:val="009578EB"/>
    <w:rsid w:val="009578FF"/>
    <w:rsid w:val="00960446"/>
    <w:rsid w:val="009610ED"/>
    <w:rsid w:val="00961796"/>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543"/>
    <w:rsid w:val="00980A10"/>
    <w:rsid w:val="00981130"/>
    <w:rsid w:val="00983038"/>
    <w:rsid w:val="00983D46"/>
    <w:rsid w:val="00983DC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45D"/>
    <w:rsid w:val="009B429F"/>
    <w:rsid w:val="009B5A4D"/>
    <w:rsid w:val="009B7321"/>
    <w:rsid w:val="009B7A72"/>
    <w:rsid w:val="009B7BB8"/>
    <w:rsid w:val="009C126A"/>
    <w:rsid w:val="009C1D4C"/>
    <w:rsid w:val="009C2A1F"/>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E4"/>
    <w:rsid w:val="00A2459D"/>
    <w:rsid w:val="00A24E23"/>
    <w:rsid w:val="00A25F05"/>
    <w:rsid w:val="00A264BE"/>
    <w:rsid w:val="00A311AE"/>
    <w:rsid w:val="00A312A6"/>
    <w:rsid w:val="00A3130E"/>
    <w:rsid w:val="00A324CF"/>
    <w:rsid w:val="00A3295D"/>
    <w:rsid w:val="00A32E8B"/>
    <w:rsid w:val="00A32ED6"/>
    <w:rsid w:val="00A344A5"/>
    <w:rsid w:val="00A346C3"/>
    <w:rsid w:val="00A34ACA"/>
    <w:rsid w:val="00A42D07"/>
    <w:rsid w:val="00A450C0"/>
    <w:rsid w:val="00A45468"/>
    <w:rsid w:val="00A455F8"/>
    <w:rsid w:val="00A4791B"/>
    <w:rsid w:val="00A50A48"/>
    <w:rsid w:val="00A51242"/>
    <w:rsid w:val="00A51312"/>
    <w:rsid w:val="00A51522"/>
    <w:rsid w:val="00A51573"/>
    <w:rsid w:val="00A51A5E"/>
    <w:rsid w:val="00A52895"/>
    <w:rsid w:val="00A53A1F"/>
    <w:rsid w:val="00A53DA0"/>
    <w:rsid w:val="00A55350"/>
    <w:rsid w:val="00A5765D"/>
    <w:rsid w:val="00A607CB"/>
    <w:rsid w:val="00A6298D"/>
    <w:rsid w:val="00A6351F"/>
    <w:rsid w:val="00A65A70"/>
    <w:rsid w:val="00A66F36"/>
    <w:rsid w:val="00A676D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2AA"/>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1CEB"/>
    <w:rsid w:val="00AD2794"/>
    <w:rsid w:val="00AD2B9F"/>
    <w:rsid w:val="00AD2DC5"/>
    <w:rsid w:val="00AD3455"/>
    <w:rsid w:val="00AD3CAD"/>
    <w:rsid w:val="00AD69FF"/>
    <w:rsid w:val="00AD702B"/>
    <w:rsid w:val="00AD72E6"/>
    <w:rsid w:val="00AD7C95"/>
    <w:rsid w:val="00AE0960"/>
    <w:rsid w:val="00AE349B"/>
    <w:rsid w:val="00AE3DE1"/>
    <w:rsid w:val="00AE44AC"/>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156"/>
    <w:rsid w:val="00B51BB0"/>
    <w:rsid w:val="00B5239C"/>
    <w:rsid w:val="00B52C39"/>
    <w:rsid w:val="00B52E62"/>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223"/>
    <w:rsid w:val="00B67805"/>
    <w:rsid w:val="00B67939"/>
    <w:rsid w:val="00B70A76"/>
    <w:rsid w:val="00B721CD"/>
    <w:rsid w:val="00B72349"/>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711C"/>
    <w:rsid w:val="00BF7C74"/>
    <w:rsid w:val="00C00412"/>
    <w:rsid w:val="00C00ED8"/>
    <w:rsid w:val="00C03309"/>
    <w:rsid w:val="00C03452"/>
    <w:rsid w:val="00C04BD4"/>
    <w:rsid w:val="00C067D5"/>
    <w:rsid w:val="00C06A0A"/>
    <w:rsid w:val="00C072FE"/>
    <w:rsid w:val="00C12E39"/>
    <w:rsid w:val="00C13DA5"/>
    <w:rsid w:val="00C14164"/>
    <w:rsid w:val="00C15D8E"/>
    <w:rsid w:val="00C17012"/>
    <w:rsid w:val="00C178FB"/>
    <w:rsid w:val="00C17FDC"/>
    <w:rsid w:val="00C204AA"/>
    <w:rsid w:val="00C22B28"/>
    <w:rsid w:val="00C22B5A"/>
    <w:rsid w:val="00C23E6D"/>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542D"/>
    <w:rsid w:val="00C75F2F"/>
    <w:rsid w:val="00C75FEE"/>
    <w:rsid w:val="00C76F1D"/>
    <w:rsid w:val="00C77D26"/>
    <w:rsid w:val="00C806E6"/>
    <w:rsid w:val="00C80BDF"/>
    <w:rsid w:val="00C80C4B"/>
    <w:rsid w:val="00C80F68"/>
    <w:rsid w:val="00C8372C"/>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A74C4"/>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62F"/>
    <w:rsid w:val="00CC587F"/>
    <w:rsid w:val="00CC79E9"/>
    <w:rsid w:val="00CD0126"/>
    <w:rsid w:val="00CD078F"/>
    <w:rsid w:val="00CD121E"/>
    <w:rsid w:val="00CD1922"/>
    <w:rsid w:val="00CD27A8"/>
    <w:rsid w:val="00CD28F0"/>
    <w:rsid w:val="00CD37DA"/>
    <w:rsid w:val="00CD3CBE"/>
    <w:rsid w:val="00CD3ED8"/>
    <w:rsid w:val="00CD6190"/>
    <w:rsid w:val="00CD736C"/>
    <w:rsid w:val="00CD761D"/>
    <w:rsid w:val="00CD76B5"/>
    <w:rsid w:val="00CE0BC1"/>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6727"/>
    <w:rsid w:val="00D67BC5"/>
    <w:rsid w:val="00D7021B"/>
    <w:rsid w:val="00D70D33"/>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978"/>
    <w:rsid w:val="00D81F10"/>
    <w:rsid w:val="00D8201E"/>
    <w:rsid w:val="00D822EC"/>
    <w:rsid w:val="00D8303C"/>
    <w:rsid w:val="00D836F7"/>
    <w:rsid w:val="00D84A57"/>
    <w:rsid w:val="00D84C3B"/>
    <w:rsid w:val="00D84DA7"/>
    <w:rsid w:val="00D864F8"/>
    <w:rsid w:val="00D874DF"/>
    <w:rsid w:val="00D87A12"/>
    <w:rsid w:val="00D90732"/>
    <w:rsid w:val="00D930E1"/>
    <w:rsid w:val="00D9415C"/>
    <w:rsid w:val="00D942CC"/>
    <w:rsid w:val="00D94ADE"/>
    <w:rsid w:val="00D94D87"/>
    <w:rsid w:val="00D962DC"/>
    <w:rsid w:val="00D97631"/>
    <w:rsid w:val="00D97BB5"/>
    <w:rsid w:val="00DA0C12"/>
    <w:rsid w:val="00DA117C"/>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1A2"/>
    <w:rsid w:val="00DB7B06"/>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813"/>
    <w:rsid w:val="00DF3B76"/>
    <w:rsid w:val="00DF4359"/>
    <w:rsid w:val="00DF4C1A"/>
    <w:rsid w:val="00DF5D57"/>
    <w:rsid w:val="00DF7751"/>
    <w:rsid w:val="00E031BB"/>
    <w:rsid w:val="00E0424A"/>
    <w:rsid w:val="00E04534"/>
    <w:rsid w:val="00E0520E"/>
    <w:rsid w:val="00E0576C"/>
    <w:rsid w:val="00E0626B"/>
    <w:rsid w:val="00E068BC"/>
    <w:rsid w:val="00E06B9F"/>
    <w:rsid w:val="00E073F0"/>
    <w:rsid w:val="00E106C5"/>
    <w:rsid w:val="00E10761"/>
    <w:rsid w:val="00E108E4"/>
    <w:rsid w:val="00E10C9B"/>
    <w:rsid w:val="00E11D7A"/>
    <w:rsid w:val="00E11EEB"/>
    <w:rsid w:val="00E128F2"/>
    <w:rsid w:val="00E13883"/>
    <w:rsid w:val="00E13EE4"/>
    <w:rsid w:val="00E16463"/>
    <w:rsid w:val="00E20155"/>
    <w:rsid w:val="00E21DE4"/>
    <w:rsid w:val="00E239D1"/>
    <w:rsid w:val="00E26727"/>
    <w:rsid w:val="00E26970"/>
    <w:rsid w:val="00E27791"/>
    <w:rsid w:val="00E30F2D"/>
    <w:rsid w:val="00E319DB"/>
    <w:rsid w:val="00E31AFC"/>
    <w:rsid w:val="00E3304B"/>
    <w:rsid w:val="00E331BF"/>
    <w:rsid w:val="00E3409E"/>
    <w:rsid w:val="00E344B7"/>
    <w:rsid w:val="00E34F76"/>
    <w:rsid w:val="00E37BE5"/>
    <w:rsid w:val="00E41A27"/>
    <w:rsid w:val="00E41E2F"/>
    <w:rsid w:val="00E42910"/>
    <w:rsid w:val="00E42EC8"/>
    <w:rsid w:val="00E430C7"/>
    <w:rsid w:val="00E457DC"/>
    <w:rsid w:val="00E4608B"/>
    <w:rsid w:val="00E464EC"/>
    <w:rsid w:val="00E46FF0"/>
    <w:rsid w:val="00E501D3"/>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7307"/>
    <w:rsid w:val="00EC0969"/>
    <w:rsid w:val="00EC14B0"/>
    <w:rsid w:val="00EC204E"/>
    <w:rsid w:val="00EC249E"/>
    <w:rsid w:val="00EC2966"/>
    <w:rsid w:val="00EC2CFF"/>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6B"/>
    <w:rsid w:val="00EF44BC"/>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8FD"/>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2AE3"/>
    <w:rsid w:val="00FE515A"/>
    <w:rsid w:val="00FE5624"/>
    <w:rsid w:val="00FE5D2C"/>
    <w:rsid w:val="00FE5FBF"/>
    <w:rsid w:val="00FE6C25"/>
    <w:rsid w:val="00FF033A"/>
    <w:rsid w:val="00FF035A"/>
    <w:rsid w:val="00FF0964"/>
    <w:rsid w:val="00FF16F2"/>
    <w:rsid w:val="00FF1D24"/>
    <w:rsid w:val="00FF2B42"/>
    <w:rsid w:val="00FF3B7F"/>
    <w:rsid w:val="00FF42A0"/>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5AIRPNAIUNRU-1830940522-4702</_dlc_DocId>
    <_dlc_DocIdUrl xmlns="71c5aaf6-e6ce-465b-b873-5148d2a4c105">
      <Url>https://nokia.sharepoint.com/sites/c5g/5gradio/_layouts/15/DocIdRedir.aspx?ID=5AIRPNAIUNRU-1830940522-4702</Url>
      <Description>5AIRPNAIUNRU-1830940522-4702</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terms/"/>
    <ds:schemaRef ds:uri="http://purl.org/dc/elements/1.1/"/>
    <ds:schemaRef ds:uri="95d2e41d-1f11-4347-bb1c-11d6a32975dd"/>
    <ds:schemaRef ds:uri="http://schemas.openxmlformats.org/package/2006/metadata/core-properties"/>
    <ds:schemaRef ds:uri="ebabf6ce-2443-438c-9946-ecc878e7654a"/>
    <ds:schemaRef ds:uri="71c5aaf6-e6ce-465b-b873-5148d2a4c105"/>
    <ds:schemaRef ds:uri="http://www.w3.org/XML/1998/namespace"/>
  </ds:schemaRefs>
</ds:datastoreItem>
</file>

<file path=customXml/itemProps4.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8880F4F1-C03D-4339-A623-8FB91159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1398</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4</cp:revision>
  <cp:lastPrinted>2016-06-20T11:35:00Z</cp:lastPrinted>
  <dcterms:created xsi:type="dcterms:W3CDTF">2019-01-11T10:33:00Z</dcterms:created>
  <dcterms:modified xsi:type="dcterms:W3CDTF">2019-01-11T15:13:00Z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d489717a-2adf-43bc-8e8f-458cdebb4f17</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